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6596EBD9" w:rsidR="00461FBF" w:rsidRPr="00BE11EB" w:rsidRDefault="00461FBF" w:rsidP="00BE11EB">
      <w:pPr>
        <w:pStyle w:val="31"/>
        <w:pBdr>
          <w:top w:val="none" w:sz="0" w:space="0" w:color="auto"/>
          <w:bottom w:val="none" w:sz="0" w:space="0" w:color="auto"/>
        </w:pBdr>
        <w:shd w:val="clear" w:color="auto" w:fill="auto"/>
        <w:spacing w:line="0" w:lineRule="atLeast"/>
        <w:jc w:val="right"/>
        <w:rPr>
          <w:rFonts w:ascii="Times New Roman" w:hAnsi="Times New Roman" w:cs="Times New Roman"/>
          <w:szCs w:val="22"/>
        </w:rPr>
      </w:pPr>
      <w:bookmarkStart w:id="0" w:name="_Ref343084605"/>
      <w:bookmarkStart w:id="1" w:name="_Toc448350103"/>
      <w:r w:rsidRPr="00BE11EB">
        <w:rPr>
          <w:rFonts w:ascii="Times New Roman" w:hAnsi="Times New Roman" w:cs="Times New Roman"/>
          <w:szCs w:val="22"/>
        </w:rPr>
        <w:t>ПРИЛОЖЕНИЕ №1</w:t>
      </w:r>
      <w:r w:rsidR="00217C4E" w:rsidRPr="00BE11EB">
        <w:rPr>
          <w:rFonts w:ascii="Times New Roman" w:hAnsi="Times New Roman" w:cs="Times New Roman"/>
          <w:szCs w:val="22"/>
        </w:rPr>
        <w:t>0</w:t>
      </w:r>
    </w:p>
    <w:p w14:paraId="46B42C46" w14:textId="77777777" w:rsidR="00461FBF" w:rsidRPr="00BE11EB" w:rsidRDefault="00461FBF" w:rsidP="00BE11EB">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p>
    <w:bookmarkEnd w:id="0"/>
    <w:bookmarkEnd w:id="1"/>
    <w:p w14:paraId="09134530" w14:textId="098B80A3" w:rsidR="008342D6" w:rsidRPr="00BE11EB" w:rsidRDefault="00217C4E" w:rsidP="00BE11EB">
      <w:pPr>
        <w:pStyle w:val="31"/>
        <w:pBdr>
          <w:top w:val="none" w:sz="0" w:space="0" w:color="auto"/>
          <w:bottom w:val="none" w:sz="0" w:space="0" w:color="auto"/>
        </w:pBdr>
        <w:shd w:val="clear" w:color="auto" w:fill="auto"/>
        <w:spacing w:line="0" w:lineRule="atLeast"/>
        <w:jc w:val="center"/>
        <w:rPr>
          <w:rFonts w:ascii="Times New Roman" w:hAnsi="Times New Roman" w:cs="Times New Roman"/>
          <w:b w:val="0"/>
          <w:szCs w:val="22"/>
        </w:rPr>
      </w:pPr>
      <w:r w:rsidRPr="00BE11EB">
        <w:rPr>
          <w:rFonts w:ascii="Times New Roman" w:hAnsi="Times New Roman" w:cs="Times New Roman"/>
          <w:szCs w:val="22"/>
        </w:rPr>
        <w:t>ТЕХНИЧЕСКИ СПЕЦИФИКАЦИИ</w:t>
      </w:r>
    </w:p>
    <w:p w14:paraId="670C706D" w14:textId="7F223601" w:rsidR="00217C4E" w:rsidRPr="00BE11EB" w:rsidRDefault="00217C4E" w:rsidP="00BE11EB">
      <w:pPr>
        <w:pStyle w:val="31"/>
        <w:pBdr>
          <w:top w:val="none" w:sz="0" w:space="0" w:color="auto"/>
          <w:bottom w:val="none" w:sz="0" w:space="0" w:color="auto"/>
        </w:pBdr>
        <w:shd w:val="clear" w:color="auto" w:fill="auto"/>
        <w:spacing w:line="0" w:lineRule="atLeast"/>
        <w:rPr>
          <w:rFonts w:ascii="Times New Roman" w:hAnsi="Times New Roman" w:cs="Times New Roman"/>
          <w:b w:val="0"/>
          <w:szCs w:val="22"/>
        </w:rPr>
      </w:pPr>
    </w:p>
    <w:p w14:paraId="3A574ABC" w14:textId="77777777" w:rsidR="000C6227" w:rsidRPr="00BE11EB" w:rsidRDefault="000C6227" w:rsidP="00BE11EB">
      <w:pPr>
        <w:pStyle w:val="10"/>
        <w:spacing w:line="0" w:lineRule="atLeast"/>
      </w:pPr>
      <w:bookmarkStart w:id="2" w:name="_Ref317614125"/>
      <w:bookmarkStart w:id="3" w:name="_Toc448409760"/>
      <w:r w:rsidRPr="00BE11EB">
        <w:t>ОБЩА ИНФОРМАЦИЯ</w:t>
      </w:r>
      <w:bookmarkEnd w:id="2"/>
      <w:bookmarkEnd w:id="3"/>
    </w:p>
    <w:p w14:paraId="032B595E" w14:textId="7296F7BE" w:rsidR="000C6227" w:rsidRPr="00BE11EB" w:rsidRDefault="000C6227" w:rsidP="00BE11EB">
      <w:pPr>
        <w:pStyle w:val="20"/>
        <w:pageBreakBefore w:val="0"/>
        <w:numPr>
          <w:ilvl w:val="1"/>
          <w:numId w:val="92"/>
        </w:numPr>
        <w:spacing w:line="0" w:lineRule="atLeast"/>
        <w:rPr>
          <w:szCs w:val="22"/>
          <w:lang w:eastAsia="en-US"/>
        </w:rPr>
      </w:pPr>
      <w:bookmarkStart w:id="4" w:name="_Toc448409761"/>
      <w:r w:rsidRPr="00BE11EB">
        <w:rPr>
          <w:szCs w:val="22"/>
          <w:lang w:eastAsia="en-US"/>
        </w:rPr>
        <w:t>ВЪЗЛОЖИТЕЛ</w:t>
      </w:r>
      <w:bookmarkEnd w:id="4"/>
    </w:p>
    <w:p w14:paraId="31102D3D" w14:textId="069B2E15" w:rsidR="000C6227" w:rsidRPr="00BE11EB" w:rsidRDefault="009614BE" w:rsidP="00BE11EB">
      <w:pPr>
        <w:numPr>
          <w:ilvl w:val="2"/>
          <w:numId w:val="92"/>
        </w:numPr>
        <w:spacing w:before="120" w:after="120" w:line="0" w:lineRule="atLeast"/>
        <w:jc w:val="both"/>
        <w:rPr>
          <w:sz w:val="22"/>
          <w:szCs w:val="22"/>
          <w:lang w:val="bg-BG" w:eastAsia="en-US"/>
        </w:rPr>
      </w:pPr>
      <w:r w:rsidRPr="00BE11EB">
        <w:rPr>
          <w:sz w:val="22"/>
          <w:szCs w:val="22"/>
          <w:lang w:val="bg-BG" w:eastAsia="en-US"/>
        </w:rPr>
        <w:t>Възложител на настоящата обществена поръчка е Николай Йорданов Зайчев – кмет на община Пещера</w:t>
      </w:r>
      <w:r w:rsidR="000C6227" w:rsidRPr="00BE11EB">
        <w:rPr>
          <w:sz w:val="22"/>
          <w:szCs w:val="22"/>
          <w:lang w:val="bg-BG" w:eastAsia="en-US"/>
        </w:rPr>
        <w:t>.</w:t>
      </w:r>
    </w:p>
    <w:p w14:paraId="54A43894" w14:textId="77777777" w:rsidR="000C6227" w:rsidRPr="00BE11EB" w:rsidRDefault="000C6227" w:rsidP="00BE11EB">
      <w:pPr>
        <w:pStyle w:val="20"/>
        <w:pageBreakBefore w:val="0"/>
        <w:numPr>
          <w:ilvl w:val="1"/>
          <w:numId w:val="92"/>
        </w:numPr>
        <w:spacing w:line="0" w:lineRule="atLeast"/>
        <w:rPr>
          <w:szCs w:val="22"/>
          <w:lang w:eastAsia="en-US"/>
        </w:rPr>
      </w:pPr>
      <w:bookmarkStart w:id="5" w:name="_Toc448409762"/>
      <w:r w:rsidRPr="00BE11EB">
        <w:rPr>
          <w:szCs w:val="22"/>
          <w:lang w:eastAsia="en-US"/>
        </w:rPr>
        <w:t>ВЪВЕДЕНИЕ</w:t>
      </w:r>
      <w:bookmarkEnd w:id="5"/>
    </w:p>
    <w:p w14:paraId="3B1B782F" w14:textId="0578F171" w:rsidR="000C6227" w:rsidRPr="00BE11EB" w:rsidRDefault="000C6227" w:rsidP="00BE11EB">
      <w:pPr>
        <w:numPr>
          <w:ilvl w:val="2"/>
          <w:numId w:val="92"/>
        </w:numPr>
        <w:spacing w:before="120" w:after="120" w:line="0" w:lineRule="atLeast"/>
        <w:jc w:val="both"/>
        <w:rPr>
          <w:sz w:val="22"/>
          <w:szCs w:val="22"/>
          <w:lang w:val="bg-BG" w:eastAsia="en-US"/>
        </w:rPr>
      </w:pPr>
      <w:r w:rsidRPr="00BE11EB">
        <w:rPr>
          <w:sz w:val="22"/>
          <w:szCs w:val="22"/>
          <w:lang w:val="bg-BG" w:eastAsia="en-US"/>
        </w:rPr>
        <w:t>Настоящи</w:t>
      </w:r>
      <w:r w:rsidR="009614BE" w:rsidRPr="00BE11EB">
        <w:rPr>
          <w:sz w:val="22"/>
          <w:szCs w:val="22"/>
          <w:lang w:val="bg-BG" w:eastAsia="en-US"/>
        </w:rPr>
        <w:t xml:space="preserve">те </w:t>
      </w:r>
      <w:r w:rsidRPr="00BE11EB">
        <w:rPr>
          <w:sz w:val="22"/>
          <w:szCs w:val="22"/>
          <w:lang w:val="bg-BG" w:eastAsia="en-US"/>
        </w:rPr>
        <w:t xml:space="preserve">ТЕХНИЧЕСКИ СПЕЦИФИКАЦИИ са разработени въз основа на действащото българско законодателство </w:t>
      </w:r>
      <w:r w:rsidRPr="00BE11EB">
        <w:rPr>
          <w:b/>
          <w:sz w:val="22"/>
          <w:szCs w:val="22"/>
          <w:highlight w:val="yellow"/>
          <w:lang w:val="bg-BG" w:eastAsia="en-US"/>
        </w:rPr>
        <w:t>и одобреното проектно предложение и бюджет към него от Управляващият Орган</w:t>
      </w:r>
    </w:p>
    <w:p w14:paraId="27DE6490" w14:textId="0F165DF3" w:rsidR="000C6227" w:rsidRPr="00BE11EB" w:rsidRDefault="000C6227" w:rsidP="00BE11EB">
      <w:pPr>
        <w:numPr>
          <w:ilvl w:val="2"/>
          <w:numId w:val="92"/>
        </w:numPr>
        <w:spacing w:before="120" w:after="120" w:line="0" w:lineRule="atLeast"/>
        <w:jc w:val="both"/>
        <w:rPr>
          <w:sz w:val="22"/>
          <w:szCs w:val="22"/>
          <w:lang w:val="bg-BG" w:eastAsia="en-US"/>
        </w:rPr>
      </w:pPr>
      <w:r w:rsidRPr="00BE11EB">
        <w:rPr>
          <w:sz w:val="22"/>
          <w:szCs w:val="22"/>
          <w:lang w:val="bg-BG" w:eastAsia="en-US"/>
        </w:rPr>
        <w:t xml:space="preserve">Изпълнителя следва да спазва НАСОКИТЕ ЗА ИНФОРМАЦИЯ И ПУБЛИЧНОСТ, които се намира на свободен достъп на сайта на </w:t>
      </w:r>
      <w:r w:rsidR="009614BE" w:rsidRPr="00BE11EB">
        <w:rPr>
          <w:b/>
          <w:sz w:val="22"/>
          <w:szCs w:val="22"/>
          <w:lang w:val="bg-BG" w:eastAsia="en-US"/>
        </w:rPr>
        <w:t xml:space="preserve">Управляващия Орган – УО на </w:t>
      </w:r>
      <w:r w:rsidR="001E4C3A" w:rsidRPr="00BE11EB">
        <w:rPr>
          <w:b/>
          <w:sz w:val="22"/>
          <w:szCs w:val="22"/>
          <w:lang w:val="bg-BG" w:eastAsia="en-US"/>
        </w:rPr>
        <w:t>Оперативна Програма „Региони в Растеж“ - ОПРР</w:t>
      </w:r>
    </w:p>
    <w:p w14:paraId="19C4B8B7" w14:textId="77777777" w:rsidR="000C6227" w:rsidRPr="00BE11EB" w:rsidRDefault="000C6227" w:rsidP="00BE11EB">
      <w:pPr>
        <w:numPr>
          <w:ilvl w:val="2"/>
          <w:numId w:val="92"/>
        </w:numPr>
        <w:spacing w:before="120" w:after="120" w:line="0" w:lineRule="atLeast"/>
        <w:jc w:val="both"/>
        <w:rPr>
          <w:sz w:val="22"/>
          <w:szCs w:val="22"/>
          <w:lang w:val="bg-BG" w:eastAsia="en-US"/>
        </w:rPr>
      </w:pPr>
      <w:r w:rsidRPr="00BE11EB">
        <w:rPr>
          <w:sz w:val="22"/>
          <w:szCs w:val="22"/>
          <w:lang w:val="bg-BG" w:eastAsia="en-US"/>
        </w:rPr>
        <w:t>В Технически спецификации са описани изискванията, към дейностите, които трябва да се изпълнят в изпълнение на предмета на обществената поръчка.</w:t>
      </w:r>
    </w:p>
    <w:p w14:paraId="2AEEF423" w14:textId="4F588B28" w:rsidR="000C6227" w:rsidRDefault="000C6227" w:rsidP="00BE11EB">
      <w:pPr>
        <w:numPr>
          <w:ilvl w:val="2"/>
          <w:numId w:val="92"/>
        </w:numPr>
        <w:spacing w:before="120" w:after="120" w:line="0" w:lineRule="atLeast"/>
        <w:jc w:val="both"/>
        <w:rPr>
          <w:sz w:val="22"/>
          <w:szCs w:val="22"/>
          <w:lang w:val="bg-BG" w:eastAsia="en-US"/>
        </w:rPr>
      </w:pPr>
      <w:r w:rsidRPr="00BE11EB">
        <w:rPr>
          <w:sz w:val="22"/>
          <w:szCs w:val="22"/>
          <w:lang w:val="bg-BG" w:eastAsia="en-US"/>
        </w:rPr>
        <w:t>В съответствие с разпоредбите на чл.32, ал. 1 и ал.2 от ЗОП, в случай, че в документацията по настоящата обществена поръчка, така и настоящите Спецификации са посочвани конкретен модел, източник, процес, търговска марка, патент, тип, произход или производство – да се чете и разбира „ИЛИ ЕКВИВАЛЕНТНО”.</w:t>
      </w:r>
    </w:p>
    <w:p w14:paraId="2C18AA46" w14:textId="77777777" w:rsidR="000C6227" w:rsidRPr="00BE11EB" w:rsidRDefault="000C6227" w:rsidP="00BE11EB">
      <w:pPr>
        <w:pStyle w:val="10"/>
        <w:spacing w:line="0" w:lineRule="atLeast"/>
      </w:pPr>
      <w:bookmarkStart w:id="6" w:name="_Ref320626344"/>
      <w:bookmarkStart w:id="7" w:name="_Toc448409763"/>
      <w:r w:rsidRPr="00BE11EB">
        <w:t>ОБХВАТ НА ОБЩЕСТВЕНАТА ПОРЪЧКА</w:t>
      </w:r>
      <w:bookmarkEnd w:id="6"/>
      <w:bookmarkEnd w:id="7"/>
    </w:p>
    <w:p w14:paraId="114A810C" w14:textId="5A13A801" w:rsidR="000C6227" w:rsidRPr="00BE11EB" w:rsidRDefault="000C6227" w:rsidP="00BE11EB">
      <w:pPr>
        <w:pStyle w:val="20"/>
        <w:pageBreakBefore w:val="0"/>
        <w:numPr>
          <w:ilvl w:val="1"/>
          <w:numId w:val="92"/>
        </w:numPr>
        <w:spacing w:line="0" w:lineRule="atLeast"/>
        <w:rPr>
          <w:szCs w:val="22"/>
          <w:lang w:eastAsia="en-US"/>
        </w:rPr>
      </w:pPr>
      <w:bookmarkStart w:id="8" w:name="_Toc448409764"/>
      <w:r w:rsidRPr="00BE11EB">
        <w:rPr>
          <w:szCs w:val="22"/>
          <w:lang w:eastAsia="en-US"/>
        </w:rPr>
        <w:t>ПЪЛНО ОПИСАНИЕ НА ПРЕДМЕТА НА ОБЩЕСТВЕНАТА ПОРЪЧКА</w:t>
      </w:r>
      <w:bookmarkEnd w:id="8"/>
    </w:p>
    <w:p w14:paraId="33EF7BCC" w14:textId="77777777" w:rsidR="00BB7178" w:rsidRPr="00BB7178" w:rsidRDefault="00BB7178" w:rsidP="00BB7178">
      <w:pPr>
        <w:numPr>
          <w:ilvl w:val="2"/>
          <w:numId w:val="92"/>
        </w:numPr>
        <w:spacing w:before="120" w:after="120" w:line="0" w:lineRule="atLeast"/>
        <w:jc w:val="both"/>
        <w:rPr>
          <w:sz w:val="22"/>
          <w:szCs w:val="22"/>
          <w:lang w:val="bg-BG"/>
        </w:rPr>
      </w:pPr>
      <w:r w:rsidRPr="00BB7178">
        <w:rPr>
          <w:sz w:val="22"/>
          <w:szCs w:val="22"/>
          <w:lang w:val="bg-BG"/>
        </w:rPr>
        <w:t xml:space="preserve">Предмет на настоящата обществена поръчка е избирането на независим изпълнител, притежаващ професионална квалификация и практически опит в изпълнение на следните дейности по обособени позиции, а именно: </w:t>
      </w:r>
    </w:p>
    <w:p w14:paraId="056D14E2" w14:textId="77777777" w:rsidR="00BB7178" w:rsidRPr="00BB7178" w:rsidRDefault="00BB7178" w:rsidP="00BB7178">
      <w:pPr>
        <w:numPr>
          <w:ilvl w:val="3"/>
          <w:numId w:val="92"/>
        </w:numPr>
        <w:spacing w:before="120" w:after="120" w:line="0" w:lineRule="atLeast"/>
        <w:jc w:val="both"/>
        <w:rPr>
          <w:sz w:val="22"/>
          <w:szCs w:val="22"/>
          <w:lang w:val="bg-BG"/>
        </w:rPr>
      </w:pPr>
      <w:r w:rsidRPr="00BB7178">
        <w:rPr>
          <w:sz w:val="22"/>
          <w:szCs w:val="22"/>
          <w:lang w:val="bg-BG"/>
        </w:rPr>
        <w:t>За ОБОСОБЕНА ПОЗИЦИЯ от №1 до №6 включително:</w:t>
      </w:r>
    </w:p>
    <w:p w14:paraId="44C6D86D" w14:textId="77777777" w:rsidR="00BB7178" w:rsidRPr="00BB7178" w:rsidRDefault="00BB7178" w:rsidP="00BB7178">
      <w:pPr>
        <w:numPr>
          <w:ilvl w:val="4"/>
          <w:numId w:val="92"/>
        </w:numPr>
        <w:spacing w:before="120" w:after="120" w:line="0" w:lineRule="atLeast"/>
        <w:jc w:val="both"/>
        <w:rPr>
          <w:sz w:val="22"/>
          <w:szCs w:val="22"/>
          <w:lang w:val="bg-BG"/>
        </w:rPr>
      </w:pPr>
      <w:r w:rsidRPr="00BB7178">
        <w:rPr>
          <w:sz w:val="22"/>
          <w:szCs w:val="22"/>
          <w:lang w:val="bg-BG"/>
        </w:rPr>
        <w:t>ДЕЙНОСТ №1 – ИЗГОТВЯНЕ НА РАБОТЕН ИНВЕСТИЦИОНЕН ПРОЕКТ;</w:t>
      </w:r>
    </w:p>
    <w:p w14:paraId="724568E5" w14:textId="1B699B87" w:rsidR="000C6227" w:rsidRPr="00BB7178" w:rsidRDefault="00BB7178" w:rsidP="00BB7178">
      <w:pPr>
        <w:numPr>
          <w:ilvl w:val="4"/>
          <w:numId w:val="92"/>
        </w:numPr>
        <w:spacing w:before="120" w:after="120" w:line="0" w:lineRule="atLeast"/>
        <w:jc w:val="both"/>
        <w:rPr>
          <w:sz w:val="22"/>
          <w:szCs w:val="22"/>
          <w:lang w:val="bg-BG"/>
        </w:rPr>
      </w:pPr>
      <w:r w:rsidRPr="00BB7178">
        <w:rPr>
          <w:sz w:val="22"/>
          <w:szCs w:val="22"/>
          <w:lang w:val="bg-BG"/>
        </w:rPr>
        <w:t>ДЕЙНОСТ №2 – ОСЪЩЕСТВЯВАНЕ НА АВТОРСКИ НАДЗОР</w:t>
      </w:r>
      <w:r w:rsidRPr="00BB7178">
        <w:rPr>
          <w:sz w:val="22"/>
          <w:szCs w:val="22"/>
          <w:lang w:val="bg-BG"/>
        </w:rPr>
        <w:t xml:space="preserve"> </w:t>
      </w:r>
    </w:p>
    <w:p w14:paraId="5E7ED2CD" w14:textId="0A35333A" w:rsidR="000C6227" w:rsidRDefault="00BB7178" w:rsidP="00BB7178">
      <w:pPr>
        <w:numPr>
          <w:ilvl w:val="2"/>
          <w:numId w:val="92"/>
        </w:numPr>
        <w:spacing w:before="120" w:after="120" w:line="0" w:lineRule="atLeast"/>
        <w:jc w:val="both"/>
        <w:rPr>
          <w:sz w:val="22"/>
          <w:szCs w:val="22"/>
          <w:lang w:val="bg-BG"/>
        </w:rPr>
      </w:pPr>
      <w:r>
        <w:rPr>
          <w:sz w:val="22"/>
          <w:szCs w:val="22"/>
          <w:lang w:val="bg-BG"/>
        </w:rPr>
        <w:t xml:space="preserve">Информация за обектите на проектирането е подробно отразено в съответния Технически Паспорт и Енергиен Доклад, които са неразделна част от настоящите </w:t>
      </w:r>
      <w:r w:rsidR="009962AB">
        <w:rPr>
          <w:sz w:val="22"/>
          <w:szCs w:val="22"/>
          <w:lang w:val="bg-BG"/>
        </w:rPr>
        <w:t>спецификации</w:t>
      </w:r>
      <w:r w:rsidR="00F77DF6">
        <w:rPr>
          <w:sz w:val="22"/>
          <w:szCs w:val="22"/>
          <w:lang w:val="bg-BG"/>
        </w:rPr>
        <w:t>, а именно:</w:t>
      </w:r>
    </w:p>
    <w:p w14:paraId="35FAE0FB" w14:textId="3975B8E0"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ПРИЛОЖЕНИЕ №10.1 - ТП - ОБОСОБЕНА ПОЗИЦИЯ №1 - ЗЛАТНОТО КОРМИЛО</w:t>
      </w:r>
    </w:p>
    <w:p w14:paraId="74422F48" w14:textId="012EEEB8"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 xml:space="preserve">ПРИЛОЖЕНИЕ №10.1 - ТП - ОБОСОБЕНА ПОЗИЦИЯ №2 </w:t>
      </w:r>
      <w:r>
        <w:rPr>
          <w:sz w:val="22"/>
          <w:szCs w:val="22"/>
          <w:lang w:val="bg-BG"/>
        </w:rPr>
        <w:t>-</w:t>
      </w:r>
      <w:r w:rsidRPr="00F77DF6">
        <w:rPr>
          <w:sz w:val="22"/>
          <w:szCs w:val="22"/>
          <w:lang w:val="bg-BG"/>
        </w:rPr>
        <w:t xml:space="preserve"> РОДОПИ</w:t>
      </w:r>
    </w:p>
    <w:p w14:paraId="3EF2B00A" w14:textId="17FB2F7C"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 xml:space="preserve">ПРИЛОЖЕНИЕ №10.1 - ТП - ОБОСОБЕНА ПОЗИЦИЯ №3 </w:t>
      </w:r>
      <w:r>
        <w:rPr>
          <w:sz w:val="22"/>
          <w:szCs w:val="22"/>
          <w:lang w:val="bg-BG"/>
        </w:rPr>
        <w:t>-</w:t>
      </w:r>
      <w:r w:rsidRPr="00F77DF6">
        <w:rPr>
          <w:sz w:val="22"/>
          <w:szCs w:val="22"/>
          <w:lang w:val="bg-BG"/>
        </w:rPr>
        <w:t xml:space="preserve"> НАДЕЖДА</w:t>
      </w:r>
    </w:p>
    <w:p w14:paraId="5F5AF542" w14:textId="70CCB1C6"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 xml:space="preserve">ПРИЛОЖЕНИЕ №10.1 - ТП - ОБОСОБЕНА ПОЗИЦИЯ №4 </w:t>
      </w:r>
      <w:r>
        <w:rPr>
          <w:sz w:val="22"/>
          <w:szCs w:val="22"/>
          <w:lang w:val="bg-BG"/>
        </w:rPr>
        <w:t>-</w:t>
      </w:r>
      <w:r w:rsidRPr="00F77DF6">
        <w:rPr>
          <w:sz w:val="22"/>
          <w:szCs w:val="22"/>
          <w:lang w:val="bg-BG"/>
        </w:rPr>
        <w:t xml:space="preserve"> СТРОИТЕЛ</w:t>
      </w:r>
    </w:p>
    <w:p w14:paraId="37AD26C9" w14:textId="0B076B74"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 xml:space="preserve">ПРИЛОЖЕНИЕ №10.1 - ТП - ОБОСОБЕНА ПОЗИЦИЯ №5 </w:t>
      </w:r>
      <w:r>
        <w:rPr>
          <w:sz w:val="22"/>
          <w:szCs w:val="22"/>
          <w:lang w:val="bg-BG"/>
        </w:rPr>
        <w:t>-</w:t>
      </w:r>
      <w:r w:rsidRPr="00F77DF6">
        <w:rPr>
          <w:sz w:val="22"/>
          <w:szCs w:val="22"/>
          <w:lang w:val="bg-BG"/>
        </w:rPr>
        <w:t xml:space="preserve"> БОР</w:t>
      </w:r>
    </w:p>
    <w:p w14:paraId="38F57988" w14:textId="5BA1F98E"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 xml:space="preserve">ПРИЛОЖЕНИЕ №10.1 - ТП - ОБОСОБЕНА ПОЗИЦИЯ №6 </w:t>
      </w:r>
      <w:r>
        <w:rPr>
          <w:sz w:val="22"/>
          <w:szCs w:val="22"/>
          <w:lang w:val="bg-BG"/>
        </w:rPr>
        <w:t>-</w:t>
      </w:r>
      <w:r w:rsidRPr="00F77DF6">
        <w:rPr>
          <w:sz w:val="22"/>
          <w:szCs w:val="22"/>
          <w:lang w:val="bg-BG"/>
        </w:rPr>
        <w:t xml:space="preserve"> КУПЕНА</w:t>
      </w:r>
    </w:p>
    <w:p w14:paraId="620DF992" w14:textId="0EC238BB"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ПРИЛОЖЕНИЕ №10.2 - ЕО - ОБОСОБЕНА ПОЗИЦИЯ №1 - ЗЛАТНОТО КОРМИЛО</w:t>
      </w:r>
    </w:p>
    <w:p w14:paraId="6F6A9472" w14:textId="3D527880"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 xml:space="preserve">ПРИЛОЖЕНИЕ №10.2 - ЕО - ОБОСОБЕНА ПОЗИЦИЯ №2 </w:t>
      </w:r>
      <w:r>
        <w:rPr>
          <w:sz w:val="22"/>
          <w:szCs w:val="22"/>
          <w:lang w:val="bg-BG"/>
        </w:rPr>
        <w:t>-</w:t>
      </w:r>
      <w:r w:rsidRPr="00F77DF6">
        <w:rPr>
          <w:sz w:val="22"/>
          <w:szCs w:val="22"/>
          <w:lang w:val="bg-BG"/>
        </w:rPr>
        <w:t xml:space="preserve"> РОДОПИ</w:t>
      </w:r>
    </w:p>
    <w:p w14:paraId="5C6B6798" w14:textId="46E08C89"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ПРИЛОЖЕНИЕ №10.2 - ЕО - ОБОСОБЕНА ПОЗИЦИЯ №3 - НАДЕЖДА</w:t>
      </w:r>
    </w:p>
    <w:p w14:paraId="75ACE876" w14:textId="08DDCE05"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ПРИЛОЖЕНИЕ №10.2 - ЕО - ОБОСОБЕНА ПОЗИЦИЯ №4 - СТРОИТЕЛ</w:t>
      </w:r>
    </w:p>
    <w:p w14:paraId="27EB7745" w14:textId="0E6DD3B9"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ПРИЛОЖЕНИЕ №10.2 - ЕО - ОБОСОБЕНА ПОЗИЦИЯ №5 - БОР</w:t>
      </w:r>
    </w:p>
    <w:p w14:paraId="58A5F56A" w14:textId="448C77A8" w:rsidR="00F77DF6" w:rsidRDefault="00F77DF6" w:rsidP="00F77DF6">
      <w:pPr>
        <w:numPr>
          <w:ilvl w:val="3"/>
          <w:numId w:val="92"/>
        </w:numPr>
        <w:spacing w:before="120" w:after="120" w:line="0" w:lineRule="atLeast"/>
        <w:jc w:val="both"/>
        <w:rPr>
          <w:sz w:val="22"/>
          <w:szCs w:val="22"/>
          <w:lang w:val="bg-BG"/>
        </w:rPr>
      </w:pPr>
      <w:r w:rsidRPr="00F77DF6">
        <w:rPr>
          <w:sz w:val="22"/>
          <w:szCs w:val="22"/>
          <w:lang w:val="bg-BG"/>
        </w:rPr>
        <w:t>ПРИЛОЖЕНИЕ №10.2 - ЕО - ОБОСОБЕНА ПОЗИЦИЯ №6 - КУПЕНА</w:t>
      </w:r>
    </w:p>
    <w:p w14:paraId="6CF0BAE0" w14:textId="7BF61879" w:rsidR="00BE11EB" w:rsidRPr="00BE11EB" w:rsidRDefault="00BE11EB" w:rsidP="00BE11EB">
      <w:pPr>
        <w:pStyle w:val="10"/>
        <w:spacing w:line="0" w:lineRule="atLeast"/>
      </w:pPr>
      <w:r w:rsidRPr="00BE11EB">
        <w:t xml:space="preserve">ОБЩИ </w:t>
      </w:r>
      <w:r w:rsidR="00DC0247">
        <w:t xml:space="preserve">ИЗИСКВАНИЯ И </w:t>
      </w:r>
      <w:r w:rsidRPr="00BE11EB">
        <w:t>ЗАДЪЛЖЕНИЯ НА ИЗПЪЛНИТЕЛЯ</w:t>
      </w:r>
    </w:p>
    <w:p w14:paraId="1F71478B" w14:textId="32F26FEF" w:rsidR="00BE11EB" w:rsidRPr="00BE11EB" w:rsidRDefault="00BE11EB" w:rsidP="00BE11EB">
      <w:pPr>
        <w:pStyle w:val="20"/>
        <w:pageBreakBefore w:val="0"/>
        <w:numPr>
          <w:ilvl w:val="1"/>
          <w:numId w:val="92"/>
        </w:numPr>
        <w:spacing w:line="0" w:lineRule="atLeast"/>
        <w:rPr>
          <w:szCs w:val="22"/>
          <w:lang w:eastAsia="en-US"/>
        </w:rPr>
      </w:pPr>
      <w:r w:rsidRPr="00BE11EB">
        <w:rPr>
          <w:szCs w:val="22"/>
          <w:lang w:eastAsia="en-US"/>
        </w:rPr>
        <w:lastRenderedPageBreak/>
        <w:t>ИЗИСКВАНИЯ КЪМ ИЗПЪЛНИТЕЛЯ</w:t>
      </w:r>
    </w:p>
    <w:p w14:paraId="3B0AE907" w14:textId="3EBCFCDE" w:rsidR="00BE11EB" w:rsidRPr="005144EA" w:rsidRDefault="005144EA" w:rsidP="005144EA">
      <w:pPr>
        <w:numPr>
          <w:ilvl w:val="2"/>
          <w:numId w:val="92"/>
        </w:numPr>
        <w:spacing w:before="120" w:after="120" w:line="0" w:lineRule="atLeast"/>
        <w:jc w:val="both"/>
        <w:rPr>
          <w:sz w:val="22"/>
          <w:szCs w:val="22"/>
          <w:lang w:val="bg-BG" w:eastAsia="en-US"/>
        </w:rPr>
      </w:pPr>
      <w:r w:rsidRPr="005144EA">
        <w:rPr>
          <w:sz w:val="22"/>
          <w:szCs w:val="22"/>
          <w:lang w:val="bg-BG" w:eastAsia="en-US"/>
        </w:rPr>
        <w:t>Изпълнителят на настоящата обществена поръчка е длъжен:</w:t>
      </w:r>
    </w:p>
    <w:p w14:paraId="0CA4C325"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започне изпълнението, съгласно клаузите на договора;</w:t>
      </w:r>
    </w:p>
    <w:p w14:paraId="27DF11B9"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укаже от какви документи и подпомагащи действия от страна на Възложителя, ще бъдат необходими и ще изисква;</w:t>
      </w:r>
    </w:p>
    <w:p w14:paraId="33B7B149"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бъде активен в определянето на оптимални решения за целите на обекта на поръчката и на всички задачи и допълнителни такива, необходими за реализирането му.</w:t>
      </w:r>
    </w:p>
    <w:p w14:paraId="29191783"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не използва по никакъв начин, включително за свои нужди или като разгласява пред трети лица каквато и да е информация за Възложителя, негови служители или контрагенти, станала му известна при или по повод изпълнението на този договор;</w:t>
      </w:r>
    </w:p>
    <w:p w14:paraId="42A7B5D6"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спре изпълнението по договора, в случай че получи от Възложителя известие за това;</w:t>
      </w:r>
    </w:p>
    <w:p w14:paraId="36F7A3E4"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информира Възложителя за всички потенциални проблеми, които биха могли да възникнат в хода на следващия етап, като представя адекватни решения за тях;</w:t>
      </w:r>
    </w:p>
    <w:p w14:paraId="555730CD"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уведоми Възложителя с писмено известие за спиране на изпълнението на договора, като приложи съответните документи, доказващи наличието на непреодолима сила;</w:t>
      </w:r>
    </w:p>
    <w:p w14:paraId="0CF8138C" w14:textId="48291CB3" w:rsid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подпомага всички страни с устни и писмени консултации, когато това има отношение по предмета на настоящата обществена поръчка</w:t>
      </w:r>
    </w:p>
    <w:p w14:paraId="60417933"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осигури достъп за извършване на проверки на място и одити;</w:t>
      </w:r>
    </w:p>
    <w:p w14:paraId="4AD38520"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изпълнява мерките и препоръките, съдържащи се в докладите за проверки на място;</w:t>
      </w:r>
    </w:p>
    <w:p w14:paraId="2FA6F02C"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докладва за възникнали нередности;</w:t>
      </w:r>
    </w:p>
    <w:p w14:paraId="32588FC4"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възстанови суми за възникнали нередности заедно с дължимата лихва и други неправомерно получени средства, съгласно действащото законодателство и/или клаузите на Договора;</w:t>
      </w:r>
    </w:p>
    <w:p w14:paraId="0A902C7F"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Да отрази всички забележки и коментари получени от съгласуващите институции и Възложителя за своя сметка;</w:t>
      </w:r>
    </w:p>
    <w:p w14:paraId="2412AAFE" w14:textId="2BBE8CB7" w:rsidR="00DC0247" w:rsidRPr="00321837" w:rsidRDefault="00DC0247" w:rsidP="00DC0247">
      <w:pPr>
        <w:numPr>
          <w:ilvl w:val="2"/>
          <w:numId w:val="92"/>
        </w:numPr>
        <w:spacing w:before="120" w:after="120" w:line="0" w:lineRule="atLeast"/>
        <w:jc w:val="both"/>
        <w:rPr>
          <w:sz w:val="22"/>
          <w:szCs w:val="22"/>
          <w:lang w:val="bg-BG" w:eastAsia="en-US"/>
        </w:rPr>
      </w:pPr>
      <w:r>
        <w:rPr>
          <w:sz w:val="22"/>
          <w:szCs w:val="22"/>
          <w:lang w:val="bg-BG" w:eastAsia="en-US"/>
        </w:rPr>
        <w:t>И</w:t>
      </w:r>
      <w:r w:rsidRPr="00321837">
        <w:rPr>
          <w:sz w:val="22"/>
          <w:szCs w:val="22"/>
          <w:lang w:val="bg-BG" w:eastAsia="en-US"/>
        </w:rPr>
        <w:t xml:space="preserve">зпълнение </w:t>
      </w:r>
      <w:r>
        <w:rPr>
          <w:sz w:val="22"/>
          <w:szCs w:val="22"/>
          <w:lang w:val="bg-BG" w:eastAsia="en-US"/>
        </w:rPr>
        <w:t xml:space="preserve">на настоящата </w:t>
      </w:r>
      <w:r w:rsidRPr="00321837">
        <w:rPr>
          <w:sz w:val="22"/>
          <w:szCs w:val="22"/>
          <w:lang w:val="bg-BG" w:eastAsia="en-US"/>
        </w:rPr>
        <w:t>обществена поръчка следва да съблюдава</w:t>
      </w:r>
      <w:r>
        <w:rPr>
          <w:sz w:val="22"/>
          <w:szCs w:val="22"/>
          <w:lang w:val="bg-BG" w:eastAsia="en-US"/>
        </w:rPr>
        <w:t xml:space="preserve"> и</w:t>
      </w:r>
      <w:r w:rsidRPr="00321837">
        <w:rPr>
          <w:sz w:val="22"/>
          <w:szCs w:val="22"/>
          <w:lang w:val="bg-BG" w:eastAsia="en-US"/>
        </w:rPr>
        <w:t xml:space="preserve"> спазва изискванията на:</w:t>
      </w:r>
    </w:p>
    <w:p w14:paraId="7B369089" w14:textId="044D24D9"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Действащото законодателство в Р.</w:t>
      </w:r>
      <w:r>
        <w:rPr>
          <w:sz w:val="22"/>
          <w:szCs w:val="22"/>
          <w:lang w:val="bg-BG" w:eastAsia="en-US"/>
        </w:rPr>
        <w:t xml:space="preserve"> </w:t>
      </w:r>
      <w:r w:rsidRPr="00DC0247">
        <w:rPr>
          <w:sz w:val="22"/>
          <w:szCs w:val="22"/>
          <w:lang w:val="bg-BG" w:eastAsia="en-US"/>
        </w:rPr>
        <w:t>България;</w:t>
      </w:r>
    </w:p>
    <w:p w14:paraId="7753D5CC" w14:textId="77777777" w:rsidR="00DC0247" w:rsidRP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Европейските и международните стандарти;</w:t>
      </w:r>
    </w:p>
    <w:p w14:paraId="663DE107" w14:textId="3A66BBDB" w:rsidR="00DC0247" w:rsidRDefault="00DC0247" w:rsidP="00DC0247">
      <w:pPr>
        <w:numPr>
          <w:ilvl w:val="3"/>
          <w:numId w:val="92"/>
        </w:numPr>
        <w:spacing w:before="120" w:after="120" w:line="0" w:lineRule="atLeast"/>
        <w:jc w:val="both"/>
        <w:rPr>
          <w:sz w:val="22"/>
          <w:szCs w:val="22"/>
          <w:lang w:val="bg-BG" w:eastAsia="en-US"/>
        </w:rPr>
      </w:pPr>
      <w:r w:rsidRPr="00DC0247">
        <w:rPr>
          <w:sz w:val="22"/>
          <w:szCs w:val="22"/>
          <w:lang w:val="bg-BG" w:eastAsia="en-US"/>
        </w:rPr>
        <w:t>Насоките и изискванията на Управляващия Орган на съответната програма, по която е финансиран проекта, както и на Възложителя</w:t>
      </w:r>
    </w:p>
    <w:p w14:paraId="12419109" w14:textId="6CDC4298" w:rsidR="00DC0247" w:rsidRPr="00DC0247" w:rsidRDefault="00DC0247" w:rsidP="00DC0247">
      <w:pPr>
        <w:numPr>
          <w:ilvl w:val="3"/>
          <w:numId w:val="92"/>
        </w:numPr>
        <w:spacing w:before="120" w:after="120" w:line="0" w:lineRule="atLeast"/>
        <w:jc w:val="both"/>
        <w:rPr>
          <w:sz w:val="22"/>
          <w:szCs w:val="22"/>
          <w:lang w:val="bg-BG" w:eastAsia="en-US"/>
        </w:rPr>
      </w:pPr>
      <w:r>
        <w:rPr>
          <w:sz w:val="22"/>
          <w:szCs w:val="22"/>
          <w:lang w:val="bg-BG" w:eastAsia="en-US"/>
        </w:rPr>
        <w:t>Настоящите технически спецификации</w:t>
      </w:r>
    </w:p>
    <w:p w14:paraId="3C7DE755" w14:textId="3F741985" w:rsidR="00BE11EB" w:rsidRDefault="00DC0247" w:rsidP="00DC0247">
      <w:pPr>
        <w:numPr>
          <w:ilvl w:val="2"/>
          <w:numId w:val="92"/>
        </w:numPr>
        <w:spacing w:before="120" w:after="120" w:line="0" w:lineRule="atLeast"/>
        <w:jc w:val="both"/>
        <w:rPr>
          <w:sz w:val="22"/>
          <w:szCs w:val="22"/>
          <w:lang w:val="bg-BG"/>
        </w:rPr>
      </w:pPr>
      <w:r w:rsidRPr="00DC0247">
        <w:rPr>
          <w:sz w:val="22"/>
          <w:szCs w:val="22"/>
          <w:lang w:val="bg-BG"/>
        </w:rPr>
        <w:t>Изисквания за запознаване и спазване законодателството и съответствие стандарти и кодове</w:t>
      </w:r>
    </w:p>
    <w:p w14:paraId="5F995AED" w14:textId="78FC06A8" w:rsidR="00DC0247" w:rsidRPr="00BE11EB" w:rsidRDefault="00DC0247" w:rsidP="00DC0247">
      <w:pPr>
        <w:numPr>
          <w:ilvl w:val="3"/>
          <w:numId w:val="92"/>
        </w:numPr>
        <w:spacing w:before="120" w:after="120" w:line="0" w:lineRule="atLeast"/>
        <w:jc w:val="both"/>
        <w:rPr>
          <w:sz w:val="22"/>
          <w:szCs w:val="22"/>
          <w:lang w:val="bg-BG"/>
        </w:rPr>
      </w:pPr>
      <w:r w:rsidRPr="00DC0247">
        <w:rPr>
          <w:sz w:val="22"/>
          <w:szCs w:val="22"/>
          <w:lang w:val="bg-BG"/>
        </w:rPr>
        <w:t>При изпълнение на задълженията си по настоящата обществена поръчка Изпълнителят следва да се запознае и съблюдава спазването на изискванията на действащото законодателство в Р. България</w:t>
      </w:r>
    </w:p>
    <w:p w14:paraId="07D5E748" w14:textId="6AC710B2" w:rsidR="00BE11EB" w:rsidRDefault="00DC0247" w:rsidP="00DC0247">
      <w:pPr>
        <w:pStyle w:val="10"/>
        <w:spacing w:line="0" w:lineRule="atLeast"/>
      </w:pPr>
      <w:r>
        <w:t xml:space="preserve">СПЕЦИФИЧНИ </w:t>
      </w:r>
      <w:r>
        <w:t xml:space="preserve">ИЗИСКВАНИЯ И </w:t>
      </w:r>
      <w:r w:rsidRPr="00BE11EB">
        <w:t>ЗАДЪЛЖЕНИЯ НА ИЗПЪЛНИТЕЛЯ</w:t>
      </w:r>
    </w:p>
    <w:p w14:paraId="167EC9F4" w14:textId="4C3A48AB" w:rsidR="00DC0247" w:rsidRDefault="00777926" w:rsidP="00777926">
      <w:pPr>
        <w:pStyle w:val="20"/>
        <w:pageBreakBefore w:val="0"/>
        <w:numPr>
          <w:ilvl w:val="1"/>
          <w:numId w:val="92"/>
        </w:numPr>
        <w:spacing w:line="0" w:lineRule="atLeast"/>
        <w:rPr>
          <w:szCs w:val="22"/>
          <w:lang w:eastAsia="en-US"/>
        </w:rPr>
      </w:pPr>
      <w:r w:rsidRPr="00777926">
        <w:rPr>
          <w:szCs w:val="22"/>
          <w:lang w:eastAsia="en-US"/>
        </w:rPr>
        <w:t>ИЗИСКВАНИЯ ЗА ИЗПЪЛНЕНИЕ НА ПРОЕКТИРАНЕТО</w:t>
      </w:r>
    </w:p>
    <w:p w14:paraId="12FF4112" w14:textId="77777777" w:rsidR="00573B4F" w:rsidRPr="00573B4F" w:rsidRDefault="00573B4F" w:rsidP="00B12E0B">
      <w:pPr>
        <w:numPr>
          <w:ilvl w:val="2"/>
          <w:numId w:val="92"/>
        </w:numPr>
        <w:spacing w:before="120" w:after="120" w:line="0" w:lineRule="atLeast"/>
        <w:jc w:val="both"/>
        <w:rPr>
          <w:sz w:val="22"/>
          <w:szCs w:val="22"/>
          <w:lang w:val="bg-BG"/>
        </w:rPr>
      </w:pPr>
      <w:r w:rsidRPr="00573B4F">
        <w:rPr>
          <w:sz w:val="22"/>
          <w:szCs w:val="22"/>
          <w:lang w:val="bg-BG"/>
        </w:rPr>
        <w:t>Работният инвестиционен проект следва да е с обхват и съдържание съгласно нормативните изисквания на Наредба №4/2001 г. за обхвата и съдържанието на инвестиционните проекти, а така също и специфичните изисквания на проекта .</w:t>
      </w:r>
    </w:p>
    <w:p w14:paraId="65701D9D" w14:textId="77777777" w:rsidR="00573B4F" w:rsidRPr="00573B4F" w:rsidRDefault="00573B4F" w:rsidP="00B12E0B">
      <w:pPr>
        <w:numPr>
          <w:ilvl w:val="2"/>
          <w:numId w:val="92"/>
        </w:numPr>
        <w:spacing w:before="120" w:after="120" w:line="0" w:lineRule="atLeast"/>
        <w:jc w:val="both"/>
        <w:rPr>
          <w:sz w:val="22"/>
          <w:szCs w:val="22"/>
          <w:lang w:val="bg-BG"/>
        </w:rPr>
      </w:pPr>
      <w:r w:rsidRPr="00573B4F">
        <w:rPr>
          <w:sz w:val="22"/>
          <w:szCs w:val="22"/>
          <w:lang w:val="bg-BG"/>
        </w:rPr>
        <w:t>Изпълнителят следва да представи работен  проект за енергийно обновяване в следния обхват:</w:t>
      </w:r>
    </w:p>
    <w:p w14:paraId="192CF438" w14:textId="42EDEBE7" w:rsidR="00573B4F" w:rsidRPr="00B12E0B" w:rsidRDefault="00573B4F" w:rsidP="00B12E0B">
      <w:pPr>
        <w:numPr>
          <w:ilvl w:val="3"/>
          <w:numId w:val="92"/>
        </w:numPr>
        <w:spacing w:before="120" w:after="120" w:line="0" w:lineRule="atLeast"/>
        <w:jc w:val="both"/>
        <w:rPr>
          <w:b/>
          <w:sz w:val="22"/>
          <w:szCs w:val="22"/>
          <w:lang w:val="bg-BG"/>
        </w:rPr>
      </w:pPr>
      <w:r w:rsidRPr="00B12E0B">
        <w:rPr>
          <w:b/>
          <w:sz w:val="22"/>
          <w:szCs w:val="22"/>
          <w:lang w:val="bg-BG"/>
        </w:rPr>
        <w:t>Част АРХИТЕКТУРНА;</w:t>
      </w:r>
    </w:p>
    <w:p w14:paraId="6CA1B633" w14:textId="2F5DB130"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 xml:space="preserve">Обяснителна записка - следва да пояснява предлаганите проектни решения,във връзка и в съответствие изходните данни и да съдържа информация за необходимите строителни продукти с технически изисквания към тях в съответствие с действащи </w:t>
      </w:r>
      <w:r w:rsidRPr="00B12E0B">
        <w:rPr>
          <w:sz w:val="22"/>
          <w:szCs w:val="22"/>
          <w:lang w:val="bg-BG"/>
        </w:rPr>
        <w:lastRenderedPageBreak/>
        <w:t>норми и стандарти (материали, изделия, комплекти) за изпълнение на СМР и начина на тяхната обработка, полагане и/или монтаж;</w:t>
      </w:r>
    </w:p>
    <w:p w14:paraId="12D7A2AA" w14:textId="77777777"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Разпределения - типов етаж/етажи в случай на разлики в светлите отвори на фасадните дограми или типа остъклявания, покрив (покривни линии) и др. при необходимост - (М1:50);</w:t>
      </w:r>
    </w:p>
    <w:p w14:paraId="75880907" w14:textId="54334500"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Характерни вертикални разрези на сградата - М1:50;</w:t>
      </w:r>
    </w:p>
    <w:p w14:paraId="7ECF575D" w14:textId="4B596815"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Фасади - графично и цветово решение за оформяне фасадите на</w:t>
      </w:r>
      <w:r w:rsidRPr="00B12E0B">
        <w:rPr>
          <w:sz w:val="22"/>
          <w:szCs w:val="22"/>
          <w:lang w:val="bg-BG"/>
        </w:rPr>
        <w:tab/>
        <w:t>обекта след изпълнение на предвидената допълнителна фасадна топлоизолация – М 1:100. Цветовото решение да бъде обвързано с цветовата гама на материалите, използвани за финишно покритие. Графичното представяне на фасадите трябва да указва ясно всички интервенции, които ще бъдат изпълнени по обвивката на сградата вкл. дограмата по самостоятелни обекти и общи части, предвидена за подмяна .Да се даде решение за  естетическия вид на сградата, като се вземат в предвид остъклени и неостъклени тераси и лоджии,монтирани тела на климатици  сателитни антени и др.   и  интегриране на вече изпълнени по обекта ЕСМ. Да се намери решение за скриване на всички кабели на кабелните оператори , без да се нарушава новоположената топлоизолация по фасадите.</w:t>
      </w:r>
    </w:p>
    <w:p w14:paraId="73577482" w14:textId="5562BB11"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Архитектурно-строителни детайли в подходящ мащаб, изясняващи изпълнението на отделни СМР, в т.ч. топлоизолационна система по елементи на сградата,стълбищна клетка и входно пространство, остъкляване/затваряне</w:t>
      </w:r>
      <w:r w:rsidRPr="00B12E0B">
        <w:rPr>
          <w:sz w:val="22"/>
          <w:szCs w:val="22"/>
          <w:lang w:val="bg-BG"/>
        </w:rPr>
        <w:tab/>
        <w:t>на балкони, външна дограма (прозорци и врати), детайли на връзките на топлоизолацията със: съществуващите настилки на терасите,  дограмата,  съществуващи ролетни щори,между изолацията на І-вия етаж и цокъл,със съществуваща настилка около сградата,с ламаринена обшивка на борда на покрива, долен ръб тераси, около елементите за окачване на климатици и антени,около съществуващи ел.табла,при дилатационните фуги/ ако има такива/;връзки при вътрешен и външен ъгъл на сградата;около дограмата, свързани със спецификата на конкретния обект на обновяване, разположение на климатизаторите (съобразено и с начина на отвеждане на конденза), сателитните антени, решетки, сенници, предпазни парапети .</w:t>
      </w:r>
    </w:p>
    <w:p w14:paraId="7D1D8474" w14:textId="041438D3"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Решение за фасадната дограма на обекта, отразено в спецификация на дограмата, която следва да съдържа:</w:t>
      </w:r>
    </w:p>
    <w:p w14:paraId="706F3F43" w14:textId="75B81ADE"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Схема на всеки отделен вид прозорец, врата или витрина с посочени растерни и габаритни размери, всички отваряеми части с посоките им на отваряне и ясно разграничени остъклени и плътни части;</w:t>
      </w:r>
    </w:p>
    <w:p w14:paraId="76DAE78B" w14:textId="158DF512"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Общия необходим брой на всеки отделен вид прозорец, врата или витрина за обекта;</w:t>
      </w:r>
    </w:p>
    <w:p w14:paraId="46F1C997" w14:textId="3D5F3ECA"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Единичната площ и общата площ по габаритни размери на всеки отделен вид прозорец, врата или витрина за обекта.</w:t>
      </w:r>
    </w:p>
    <w:p w14:paraId="44CF76B4" w14:textId="23F87819"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Разположението на новопроектираната дограма по фасадите на обекта да се представи в графичен вид с ясна идентификация на всеки отделен вид прозорец, врата или витрина за обекта.</w:t>
      </w:r>
    </w:p>
    <w:p w14:paraId="6609B0DA" w14:textId="1ADABD6A"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Растерът и отваряемостта на дограмата да бъдат съобразени със спецификата, експлоатационния режим и хигиенните изисквания на помещенията, които обслужва.</w:t>
      </w:r>
    </w:p>
    <w:p w14:paraId="1CD296C1" w14:textId="77777777" w:rsidR="00573B4F" w:rsidRPr="00B12E0B" w:rsidRDefault="00573B4F" w:rsidP="00B12E0B">
      <w:pPr>
        <w:numPr>
          <w:ilvl w:val="4"/>
          <w:numId w:val="92"/>
        </w:numPr>
        <w:spacing w:before="120" w:after="120" w:line="0" w:lineRule="atLeast"/>
        <w:jc w:val="both"/>
        <w:rPr>
          <w:sz w:val="22"/>
          <w:szCs w:val="22"/>
          <w:lang w:val="bg-BG"/>
        </w:rPr>
      </w:pPr>
      <w:r w:rsidRPr="00B12E0B">
        <w:rPr>
          <w:sz w:val="22"/>
          <w:szCs w:val="22"/>
          <w:lang w:val="bg-BG"/>
        </w:rPr>
        <w:t>За постигане на съгласуваност и съответствие на инженерните дейности по обследванията на сградата с процеса на проектиране, при изработване на проекта и спецификацията на новата дограма на сградата, която ще се монтира на база на работния инвестиционен проект, следва да се използват означенията на отделните типове и типоразмери на дограмата, посочени в обследването за енергийна ефективност и техническото заснемане.Същото изискване важи и за означенията на самостоятелните обекти и типовете стени в чертежите, Количествената и Количествено-стойностната сметки.</w:t>
      </w:r>
    </w:p>
    <w:p w14:paraId="55EE31BE" w14:textId="64E96B9B" w:rsidR="00573B4F" w:rsidRPr="00B12E0B" w:rsidRDefault="00B12E0B" w:rsidP="00B12E0B">
      <w:pPr>
        <w:numPr>
          <w:ilvl w:val="3"/>
          <w:numId w:val="92"/>
        </w:numPr>
        <w:spacing w:before="120" w:after="120" w:line="0" w:lineRule="atLeast"/>
        <w:jc w:val="both"/>
        <w:rPr>
          <w:b/>
          <w:sz w:val="22"/>
          <w:szCs w:val="22"/>
          <w:lang w:val="bg-BG"/>
        </w:rPr>
      </w:pPr>
      <w:r w:rsidRPr="00B12E0B">
        <w:rPr>
          <w:b/>
          <w:sz w:val="22"/>
          <w:szCs w:val="22"/>
          <w:lang w:val="bg-BG"/>
        </w:rPr>
        <w:t>Част КОНСТРУКТИВНА</w:t>
      </w:r>
    </w:p>
    <w:p w14:paraId="2DF738BD" w14:textId="6B617DBD"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 xml:space="preserve">Обяснителна записка - съдържа подробна информация относно предвидените в работния проект СМР и тяхното влияние върху конструкцията на сградата във връзка с допълнителното натоварване и сеизмичната осигуреност на сградата. Към </w:t>
      </w:r>
      <w:r w:rsidRPr="00573B4F">
        <w:rPr>
          <w:sz w:val="22"/>
          <w:szCs w:val="22"/>
          <w:lang w:val="bg-BG"/>
        </w:rPr>
        <w:lastRenderedPageBreak/>
        <w:t>записката се прилага спецификация на предвидените за влагане строителни продукти (материали, изделия) по част конструктивна (ако е приложимо) с технически изисквания към тях в съответствие с действащи норми и стандарти.</w:t>
      </w:r>
    </w:p>
    <w:p w14:paraId="00488806" w14:textId="6DBE1C8D"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Детайли, които се отнасят към конструктивните/носещи елементи на сградата - остъкляване/затваряне балкони и лоджии, парапети и др. - които са приложими; Детайлите се изработват с подробност и конкретност, които следва да осигурят изпълнението на СМР.</w:t>
      </w:r>
    </w:p>
    <w:p w14:paraId="79970E17" w14:textId="6ECC7230"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Проектът трябва да доказва носещата и сеизмичната осигуреност на сградата.При липса на конкретно описани мерки по конструктивно укрепване /усилване/ в доклада от конструктивното обследване при установяване на техническите характеристики, свързани с изискванията по чл. 169, ал. 1 (т. 1 - 5) и ал. 2 от ЗУТ и съставяне на технически паспорт на строежа, следва да се състави конструктивно становище относно общото състояние на сградата по отношение на нейната носимоспособност, устойчивост и сеизмична осигуреност.</w:t>
      </w:r>
    </w:p>
    <w:p w14:paraId="071B66F1" w14:textId="2B687559" w:rsidR="00573B4F" w:rsidRPr="00B12E0B" w:rsidRDefault="00573B4F" w:rsidP="00B12E0B">
      <w:pPr>
        <w:numPr>
          <w:ilvl w:val="3"/>
          <w:numId w:val="92"/>
        </w:numPr>
        <w:spacing w:before="120" w:after="120" w:line="0" w:lineRule="atLeast"/>
        <w:jc w:val="both"/>
        <w:rPr>
          <w:b/>
          <w:sz w:val="22"/>
          <w:szCs w:val="22"/>
          <w:lang w:val="bg-BG"/>
        </w:rPr>
      </w:pPr>
      <w:r w:rsidRPr="00B12E0B">
        <w:rPr>
          <w:b/>
          <w:sz w:val="22"/>
          <w:szCs w:val="22"/>
          <w:lang w:val="bg-BG"/>
        </w:rPr>
        <w:t>Част ВиК</w:t>
      </w:r>
    </w:p>
    <w:p w14:paraId="4148D224" w14:textId="60C035D3"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Обяснителна записка - описание на възприетите технически решения и спецификация на предвидените за влагане строителни продукти (материали, изделия) по част ВиК с технически изисквания към тях в съответствие с действащи норми и стандарти;</w:t>
      </w:r>
    </w:p>
    <w:p w14:paraId="21B27776" w14:textId="0229AE83"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Графична част, вкл. детайли за изпълнение</w:t>
      </w:r>
    </w:p>
    <w:p w14:paraId="569DAF2D" w14:textId="78DF803B" w:rsid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Проектът трябва да осигурява привеждане на общата ВиК инсталация в съответствие с действащите норми.</w:t>
      </w:r>
    </w:p>
    <w:p w14:paraId="5175EF86" w14:textId="5967C72E" w:rsidR="00B12E0B" w:rsidRPr="00B12E0B" w:rsidRDefault="00B12E0B" w:rsidP="00B12E0B">
      <w:pPr>
        <w:numPr>
          <w:ilvl w:val="3"/>
          <w:numId w:val="92"/>
        </w:numPr>
        <w:spacing w:before="120" w:after="120" w:line="0" w:lineRule="atLeast"/>
        <w:jc w:val="both"/>
        <w:rPr>
          <w:b/>
          <w:sz w:val="22"/>
          <w:szCs w:val="22"/>
          <w:lang w:val="bg-BG"/>
        </w:rPr>
      </w:pPr>
      <w:r w:rsidRPr="00B12E0B">
        <w:rPr>
          <w:b/>
          <w:sz w:val="22"/>
          <w:szCs w:val="22"/>
          <w:lang w:val="bg-BG"/>
        </w:rPr>
        <w:t>Част ЕЛЕКТРО</w:t>
      </w:r>
    </w:p>
    <w:p w14:paraId="3472BCB9" w14:textId="3F2E0D8F" w:rsidR="00B12E0B" w:rsidRPr="00573B4F" w:rsidRDefault="00B12E0B" w:rsidP="00B12E0B">
      <w:pPr>
        <w:numPr>
          <w:ilvl w:val="4"/>
          <w:numId w:val="92"/>
        </w:numPr>
        <w:spacing w:before="120" w:after="120" w:line="0" w:lineRule="atLeast"/>
        <w:jc w:val="both"/>
        <w:rPr>
          <w:sz w:val="22"/>
          <w:szCs w:val="22"/>
          <w:lang w:val="bg-BG"/>
        </w:rPr>
      </w:pPr>
      <w:r w:rsidRPr="00573B4F">
        <w:rPr>
          <w:sz w:val="22"/>
          <w:szCs w:val="22"/>
          <w:lang w:val="bg-BG"/>
        </w:rPr>
        <w:t>Обяснителна записка - описание на възприетите технически решения и спецификация на предвидените за влагане строителни продукти (материали, изделия) по част електро с технически изисквания към тях в съответствие с действащи норми и стандарти.</w:t>
      </w:r>
    </w:p>
    <w:p w14:paraId="30BEE544" w14:textId="36749101" w:rsidR="00B12E0B" w:rsidRPr="00573B4F" w:rsidRDefault="00B12E0B" w:rsidP="00B12E0B">
      <w:pPr>
        <w:numPr>
          <w:ilvl w:val="4"/>
          <w:numId w:val="92"/>
        </w:numPr>
        <w:spacing w:before="120" w:after="120" w:line="0" w:lineRule="atLeast"/>
        <w:jc w:val="both"/>
        <w:rPr>
          <w:sz w:val="22"/>
          <w:szCs w:val="22"/>
          <w:lang w:val="bg-BG"/>
        </w:rPr>
      </w:pPr>
      <w:r w:rsidRPr="00573B4F">
        <w:rPr>
          <w:sz w:val="22"/>
          <w:szCs w:val="22"/>
          <w:lang w:val="bg-BG"/>
        </w:rPr>
        <w:t>Графична част, вкл. детайли за изпълнение</w:t>
      </w:r>
    </w:p>
    <w:p w14:paraId="314747FA" w14:textId="08674D06" w:rsidR="00B12E0B" w:rsidRPr="00B12E0B" w:rsidRDefault="00B12E0B" w:rsidP="00B12E0B">
      <w:pPr>
        <w:numPr>
          <w:ilvl w:val="3"/>
          <w:numId w:val="92"/>
        </w:numPr>
        <w:spacing w:before="120" w:after="120" w:line="0" w:lineRule="atLeast"/>
        <w:jc w:val="both"/>
        <w:rPr>
          <w:b/>
          <w:sz w:val="22"/>
          <w:szCs w:val="22"/>
          <w:lang w:val="bg-BG"/>
        </w:rPr>
      </w:pPr>
      <w:r w:rsidRPr="00B12E0B">
        <w:rPr>
          <w:b/>
          <w:sz w:val="22"/>
          <w:szCs w:val="22"/>
          <w:lang w:val="bg-BG"/>
        </w:rPr>
        <w:t>Част „ОВиК и поддържане на нормативен микроклимат“</w:t>
      </w:r>
    </w:p>
    <w:p w14:paraId="5CAE8CAC" w14:textId="77777777" w:rsidR="00B12E0B" w:rsidRPr="00573B4F" w:rsidRDefault="00B12E0B" w:rsidP="00B12E0B">
      <w:pPr>
        <w:numPr>
          <w:ilvl w:val="4"/>
          <w:numId w:val="92"/>
        </w:numPr>
        <w:spacing w:before="120" w:after="120" w:line="0" w:lineRule="atLeast"/>
        <w:jc w:val="both"/>
        <w:rPr>
          <w:sz w:val="22"/>
          <w:szCs w:val="22"/>
          <w:lang w:val="bg-BG"/>
        </w:rPr>
      </w:pPr>
      <w:r w:rsidRPr="00573B4F">
        <w:rPr>
          <w:sz w:val="22"/>
          <w:szCs w:val="22"/>
          <w:lang w:val="bg-BG"/>
        </w:rPr>
        <w:t>Обяснителна записка - описание на възприетите технически решения и спецификация на предвидените за влагане строителни продукти (материали, изделия) по част електро с технически изисквания към тях в съответствие с действащи норми и стандарти.</w:t>
      </w:r>
    </w:p>
    <w:p w14:paraId="2F577954" w14:textId="77777777" w:rsidR="00B12E0B" w:rsidRPr="00573B4F" w:rsidRDefault="00B12E0B" w:rsidP="00B12E0B">
      <w:pPr>
        <w:numPr>
          <w:ilvl w:val="4"/>
          <w:numId w:val="92"/>
        </w:numPr>
        <w:spacing w:before="120" w:after="120" w:line="0" w:lineRule="atLeast"/>
        <w:jc w:val="both"/>
        <w:rPr>
          <w:sz w:val="22"/>
          <w:szCs w:val="22"/>
          <w:lang w:val="bg-BG"/>
        </w:rPr>
      </w:pPr>
      <w:r w:rsidRPr="00573B4F">
        <w:rPr>
          <w:sz w:val="22"/>
          <w:szCs w:val="22"/>
          <w:lang w:val="bg-BG"/>
        </w:rPr>
        <w:t>Графична част, вкл. детайли за изпълнение</w:t>
      </w:r>
    </w:p>
    <w:p w14:paraId="577AA710" w14:textId="2C6FC897" w:rsidR="00B12E0B" w:rsidRPr="00B12E0B" w:rsidRDefault="00B12E0B" w:rsidP="00B12E0B">
      <w:pPr>
        <w:numPr>
          <w:ilvl w:val="3"/>
          <w:numId w:val="92"/>
        </w:numPr>
        <w:spacing w:before="120" w:after="120" w:line="0" w:lineRule="atLeast"/>
        <w:jc w:val="both"/>
        <w:rPr>
          <w:b/>
          <w:sz w:val="22"/>
          <w:szCs w:val="22"/>
          <w:lang w:val="bg-BG"/>
        </w:rPr>
      </w:pPr>
      <w:r w:rsidRPr="00B12E0B">
        <w:rPr>
          <w:b/>
          <w:sz w:val="22"/>
          <w:szCs w:val="22"/>
          <w:lang w:val="bg-BG"/>
        </w:rPr>
        <w:t xml:space="preserve">Част ПОЖАРНА БЕЗОПАСНОСТ – </w:t>
      </w:r>
    </w:p>
    <w:p w14:paraId="1767EC9A" w14:textId="77777777" w:rsidR="00B12E0B" w:rsidRPr="00B12E0B" w:rsidRDefault="00B12E0B" w:rsidP="00B12E0B">
      <w:pPr>
        <w:numPr>
          <w:ilvl w:val="4"/>
          <w:numId w:val="92"/>
        </w:numPr>
        <w:spacing w:before="120" w:after="120" w:line="0" w:lineRule="atLeast"/>
        <w:jc w:val="both"/>
        <w:rPr>
          <w:sz w:val="22"/>
          <w:szCs w:val="22"/>
          <w:lang w:val="bg-BG"/>
        </w:rPr>
      </w:pPr>
      <w:r w:rsidRPr="00B12E0B">
        <w:rPr>
          <w:sz w:val="22"/>
          <w:szCs w:val="22"/>
          <w:lang w:val="bg-BG"/>
        </w:rPr>
        <w:t xml:space="preserve">с обхват и съдържание, определени съгласно Наредба № 1з-1971 от 2009 г. за строително-технически правила и норми за осигуряване на безопасност при пожар и „Наредба за изменение и допълнение на Наредба № Із-1971 от 2009 г. за строително-технически правила и норми за осигуряване на безопасност при пожар“/обн. Д.В.бр.2/08.01.2016г./ съобразно категорията на сградата </w:t>
      </w:r>
    </w:p>
    <w:p w14:paraId="08EC96FB" w14:textId="0F9464AA" w:rsidR="00B12E0B" w:rsidRPr="00B12E0B" w:rsidRDefault="00B12E0B" w:rsidP="00B12E0B">
      <w:pPr>
        <w:numPr>
          <w:ilvl w:val="4"/>
          <w:numId w:val="92"/>
        </w:numPr>
        <w:spacing w:before="120" w:after="120" w:line="0" w:lineRule="atLeast"/>
        <w:jc w:val="both"/>
        <w:rPr>
          <w:sz w:val="22"/>
          <w:szCs w:val="22"/>
          <w:lang w:val="bg-BG"/>
        </w:rPr>
      </w:pPr>
      <w:r w:rsidRPr="00B12E0B">
        <w:rPr>
          <w:sz w:val="22"/>
          <w:szCs w:val="22"/>
          <w:lang w:val="bg-BG"/>
        </w:rPr>
        <w:t>Обяснителна записка</w:t>
      </w:r>
    </w:p>
    <w:p w14:paraId="7768D626" w14:textId="73DD1C9F" w:rsidR="00B12E0B" w:rsidRPr="00B12E0B" w:rsidRDefault="00B12E0B" w:rsidP="00B12E0B">
      <w:pPr>
        <w:numPr>
          <w:ilvl w:val="4"/>
          <w:numId w:val="92"/>
        </w:numPr>
        <w:spacing w:before="120" w:after="120" w:line="0" w:lineRule="atLeast"/>
        <w:jc w:val="both"/>
        <w:rPr>
          <w:sz w:val="22"/>
          <w:szCs w:val="22"/>
          <w:lang w:val="bg-BG"/>
        </w:rPr>
      </w:pPr>
      <w:r w:rsidRPr="00B12E0B">
        <w:rPr>
          <w:sz w:val="22"/>
          <w:szCs w:val="22"/>
          <w:lang w:val="bg-BG"/>
        </w:rPr>
        <w:t>Графична част</w:t>
      </w:r>
    </w:p>
    <w:p w14:paraId="0BEC6E23" w14:textId="77777777" w:rsidR="00B12E0B" w:rsidRPr="00B12E0B" w:rsidRDefault="00B12E0B" w:rsidP="00B12E0B">
      <w:pPr>
        <w:numPr>
          <w:ilvl w:val="4"/>
          <w:numId w:val="92"/>
        </w:numPr>
        <w:spacing w:before="120" w:after="120" w:line="0" w:lineRule="atLeast"/>
        <w:jc w:val="both"/>
        <w:rPr>
          <w:sz w:val="22"/>
          <w:szCs w:val="22"/>
          <w:lang w:val="bg-BG"/>
        </w:rPr>
      </w:pPr>
      <w:r w:rsidRPr="00B12E0B">
        <w:rPr>
          <w:sz w:val="22"/>
          <w:szCs w:val="22"/>
          <w:lang w:val="bg-BG"/>
        </w:rPr>
        <w:t>Проектът трябва да осигурява привеждане на сградата за предотвратяване на пожарна опасност в съответствие с действащите норми.</w:t>
      </w:r>
    </w:p>
    <w:p w14:paraId="7A562BDC" w14:textId="781B79AE" w:rsidR="00573B4F" w:rsidRPr="00B12E0B" w:rsidRDefault="00573B4F" w:rsidP="00B12E0B">
      <w:pPr>
        <w:numPr>
          <w:ilvl w:val="3"/>
          <w:numId w:val="92"/>
        </w:numPr>
        <w:spacing w:before="120" w:after="120" w:line="0" w:lineRule="atLeast"/>
        <w:jc w:val="both"/>
        <w:rPr>
          <w:b/>
          <w:sz w:val="22"/>
          <w:szCs w:val="22"/>
          <w:lang w:val="bg-BG"/>
        </w:rPr>
      </w:pPr>
      <w:r w:rsidRPr="00B12E0B">
        <w:rPr>
          <w:b/>
          <w:sz w:val="22"/>
          <w:szCs w:val="22"/>
          <w:lang w:val="bg-BG"/>
        </w:rPr>
        <w:t>Част ЕНЕРГИЙНА ЕФЕКТИВНОСТ</w:t>
      </w:r>
    </w:p>
    <w:p w14:paraId="56DD80F2" w14:textId="598727AD"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Обяснителна записка</w:t>
      </w:r>
    </w:p>
    <w:p w14:paraId="0AA89EA8" w14:textId="7C480CDE"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Технически изчисления</w:t>
      </w:r>
    </w:p>
    <w:p w14:paraId="01DB453D" w14:textId="151A7523"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t>Графична част - технически чертежи на архитектурно-строителни детайли и елементи с описание към всеки детайл на геометричните, топлофизичните и оптичните характеристики на продуктите, приложения - технически спецификации и характеристики на вложените в строежа строителни и енергоефективни продукти.</w:t>
      </w:r>
    </w:p>
    <w:p w14:paraId="53FBDD19" w14:textId="77777777" w:rsidR="00573B4F" w:rsidRPr="00573B4F" w:rsidRDefault="00573B4F" w:rsidP="00B12E0B">
      <w:pPr>
        <w:numPr>
          <w:ilvl w:val="4"/>
          <w:numId w:val="92"/>
        </w:numPr>
        <w:spacing w:before="120" w:after="120" w:line="0" w:lineRule="atLeast"/>
        <w:jc w:val="both"/>
        <w:rPr>
          <w:sz w:val="22"/>
          <w:szCs w:val="22"/>
          <w:lang w:val="bg-BG"/>
        </w:rPr>
      </w:pPr>
      <w:r w:rsidRPr="00573B4F">
        <w:rPr>
          <w:sz w:val="22"/>
          <w:szCs w:val="22"/>
          <w:lang w:val="bg-BG"/>
        </w:rPr>
        <w:lastRenderedPageBreak/>
        <w:t>Проектът трябва да осигурява привеждане на сградата в съответствие с действащите норми по отношение на енергийната ефективност.</w:t>
      </w:r>
    </w:p>
    <w:p w14:paraId="0B57CCB4" w14:textId="46347E20" w:rsidR="00573B4F" w:rsidRPr="00B12E0B" w:rsidRDefault="00573B4F" w:rsidP="00B12E0B">
      <w:pPr>
        <w:numPr>
          <w:ilvl w:val="3"/>
          <w:numId w:val="92"/>
        </w:numPr>
        <w:spacing w:before="120" w:after="120" w:line="0" w:lineRule="atLeast"/>
        <w:jc w:val="both"/>
        <w:rPr>
          <w:b/>
          <w:sz w:val="22"/>
          <w:szCs w:val="22"/>
          <w:lang w:val="bg-BG"/>
        </w:rPr>
      </w:pPr>
      <w:r w:rsidRPr="00B12E0B">
        <w:rPr>
          <w:b/>
          <w:sz w:val="22"/>
          <w:szCs w:val="22"/>
          <w:lang w:val="bg-BG"/>
        </w:rPr>
        <w:t xml:space="preserve">Част ПБЗ </w:t>
      </w:r>
    </w:p>
    <w:p w14:paraId="4254BE3A" w14:textId="77777777" w:rsidR="00573B4F" w:rsidRPr="00573B4F" w:rsidRDefault="00573B4F" w:rsidP="00680B81">
      <w:pPr>
        <w:numPr>
          <w:ilvl w:val="4"/>
          <w:numId w:val="92"/>
        </w:numPr>
        <w:spacing w:before="120" w:after="120" w:line="0" w:lineRule="atLeast"/>
        <w:jc w:val="both"/>
        <w:rPr>
          <w:sz w:val="22"/>
          <w:szCs w:val="22"/>
          <w:lang w:val="bg-BG"/>
        </w:rPr>
      </w:pPr>
      <w:r w:rsidRPr="00573B4F">
        <w:rPr>
          <w:sz w:val="22"/>
          <w:szCs w:val="22"/>
          <w:lang w:val="bg-BG"/>
        </w:rPr>
        <w:t>с обхват и съдържание, определени съгласно Наредба № 2 от 2004 г. за минималните изисквания за здравословни и безопасни условия на труд при извършване на строителни и монтажни работи</w:t>
      </w:r>
    </w:p>
    <w:p w14:paraId="481290AF" w14:textId="685DAFDF" w:rsidR="00573B4F" w:rsidRPr="00573B4F" w:rsidRDefault="00573B4F" w:rsidP="00680B81">
      <w:pPr>
        <w:numPr>
          <w:ilvl w:val="4"/>
          <w:numId w:val="92"/>
        </w:numPr>
        <w:spacing w:before="120" w:after="120" w:line="0" w:lineRule="atLeast"/>
        <w:jc w:val="both"/>
        <w:rPr>
          <w:sz w:val="22"/>
          <w:szCs w:val="22"/>
          <w:lang w:val="bg-BG"/>
        </w:rPr>
      </w:pPr>
      <w:r w:rsidRPr="00573B4F">
        <w:rPr>
          <w:sz w:val="22"/>
          <w:szCs w:val="22"/>
          <w:lang w:val="bg-BG"/>
        </w:rPr>
        <w:t>Обяснителна записка</w:t>
      </w:r>
    </w:p>
    <w:p w14:paraId="0B456CB5" w14:textId="69EF83C7" w:rsidR="00573B4F" w:rsidRPr="00573B4F" w:rsidRDefault="00573B4F" w:rsidP="00680B81">
      <w:pPr>
        <w:numPr>
          <w:ilvl w:val="4"/>
          <w:numId w:val="92"/>
        </w:numPr>
        <w:spacing w:before="120" w:after="120" w:line="0" w:lineRule="atLeast"/>
        <w:jc w:val="both"/>
        <w:rPr>
          <w:sz w:val="22"/>
          <w:szCs w:val="22"/>
          <w:lang w:val="bg-BG"/>
        </w:rPr>
      </w:pPr>
      <w:r w:rsidRPr="00573B4F">
        <w:rPr>
          <w:sz w:val="22"/>
          <w:szCs w:val="22"/>
          <w:lang w:val="bg-BG"/>
        </w:rPr>
        <w:t>Графична част</w:t>
      </w:r>
    </w:p>
    <w:p w14:paraId="01681B26" w14:textId="3E2187E3" w:rsidR="00573B4F" w:rsidRPr="00680B81" w:rsidRDefault="00573B4F" w:rsidP="00680B81">
      <w:pPr>
        <w:numPr>
          <w:ilvl w:val="3"/>
          <w:numId w:val="92"/>
        </w:numPr>
        <w:spacing w:before="120" w:after="120" w:line="0" w:lineRule="atLeast"/>
        <w:jc w:val="both"/>
        <w:rPr>
          <w:b/>
          <w:sz w:val="22"/>
          <w:szCs w:val="22"/>
          <w:lang w:val="bg-BG"/>
        </w:rPr>
      </w:pPr>
      <w:r w:rsidRPr="00680B81">
        <w:rPr>
          <w:b/>
          <w:sz w:val="22"/>
          <w:szCs w:val="22"/>
          <w:lang w:val="bg-BG"/>
        </w:rPr>
        <w:t xml:space="preserve">Част ПУСО  </w:t>
      </w:r>
    </w:p>
    <w:p w14:paraId="11E6278C" w14:textId="77777777" w:rsidR="00573B4F" w:rsidRPr="00573B4F" w:rsidRDefault="00573B4F" w:rsidP="00680B81">
      <w:pPr>
        <w:numPr>
          <w:ilvl w:val="4"/>
          <w:numId w:val="92"/>
        </w:numPr>
        <w:spacing w:before="120" w:after="120" w:line="0" w:lineRule="atLeast"/>
        <w:jc w:val="both"/>
        <w:rPr>
          <w:sz w:val="22"/>
          <w:szCs w:val="22"/>
          <w:lang w:val="bg-BG"/>
        </w:rPr>
      </w:pPr>
      <w:r w:rsidRPr="00573B4F">
        <w:rPr>
          <w:sz w:val="22"/>
          <w:szCs w:val="22"/>
          <w:lang w:val="bg-BG"/>
        </w:rPr>
        <w:t>с обхват и съдържание, съгласно чл. 4 и 5 от Наредбата за управление на строителните отпадъци и за влагане на рециклирани строителни материали, приета с ПМС № 277 от 2012 г.</w:t>
      </w:r>
    </w:p>
    <w:p w14:paraId="544B4E27" w14:textId="4D52139D" w:rsidR="00680B81" w:rsidRDefault="00573B4F" w:rsidP="00680B81">
      <w:pPr>
        <w:numPr>
          <w:ilvl w:val="3"/>
          <w:numId w:val="92"/>
        </w:numPr>
        <w:spacing w:before="120" w:after="120" w:line="0" w:lineRule="atLeast"/>
        <w:jc w:val="both"/>
        <w:rPr>
          <w:b/>
          <w:sz w:val="22"/>
          <w:szCs w:val="22"/>
          <w:lang w:val="bg-BG"/>
        </w:rPr>
      </w:pPr>
      <w:r w:rsidRPr="00680B81">
        <w:rPr>
          <w:b/>
          <w:sz w:val="22"/>
          <w:szCs w:val="22"/>
          <w:lang w:val="bg-BG"/>
        </w:rPr>
        <w:t>Част СМЕТНА ДОКУМЕНТАЦИЯ</w:t>
      </w:r>
    </w:p>
    <w:p w14:paraId="4587D5D1" w14:textId="2B89D730" w:rsidR="00573B4F" w:rsidRPr="00680B81" w:rsidRDefault="00573B4F" w:rsidP="00680B81">
      <w:pPr>
        <w:numPr>
          <w:ilvl w:val="4"/>
          <w:numId w:val="92"/>
        </w:numPr>
        <w:spacing w:before="120" w:after="120" w:line="0" w:lineRule="atLeast"/>
        <w:jc w:val="both"/>
        <w:rPr>
          <w:sz w:val="22"/>
          <w:szCs w:val="22"/>
          <w:lang w:val="bg-BG"/>
        </w:rPr>
      </w:pPr>
      <w:r w:rsidRPr="00680B81">
        <w:rPr>
          <w:sz w:val="22"/>
          <w:szCs w:val="22"/>
          <w:lang w:val="bg-BG"/>
        </w:rPr>
        <w:t>по всички части на проектната документация, в т.ч. количествени сметки за видовете СМР, както и с опис на видовете и количествата СМР, които спадат към всеки обобщен вид СМР, съгласно препоръките за задължителните СМР в техническите паспорти и енергийните обследвания за обектите.</w:t>
      </w:r>
    </w:p>
    <w:p w14:paraId="07227B7F" w14:textId="3DFAE505"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Предвидените в инвестиционния проект интервенции по сградите, следва да включват</w:t>
      </w:r>
      <w:r w:rsidR="00680B81">
        <w:rPr>
          <w:sz w:val="22"/>
          <w:szCs w:val="22"/>
          <w:lang w:val="bg-BG"/>
        </w:rPr>
        <w:t xml:space="preserve"> всички задължителни и препоръчителни мерки посочени, като такива в Техническият Паспорт и Енергиен Доклад</w:t>
      </w:r>
    </w:p>
    <w:p w14:paraId="05973F18" w14:textId="0FAE3DB0"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В инвестиционния проект следва да се предвидят продукти (материали и изделия, които съответстват на техническите спецификации на действащите в Р България нормативни актове. Продуктите трябва да имат оценено съответствие със съществените изисквания определени в Закона за техническите изиквания към продуктите (ЗТИП). Предложените продукти и материали за енергийното обновяване ( топлоизолационни системи, дограми и др.) трябва да са с технически характеристики, съответни на заложените в Обследването за енергийна ефективност за всяка конкретна сграда.</w:t>
      </w:r>
    </w:p>
    <w:p w14:paraId="165C31E5" w14:textId="1096F1FD"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Обемът и съдържанието на документацията и приложените към нея записки и детайли, следва да бъдат достатъчни за изпълнение на обновителните дейности по обекта.</w:t>
      </w:r>
    </w:p>
    <w:p w14:paraId="69F2DE2E" w14:textId="474DD1D7"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При проектирането на топлоизолацията, да се укажат   техническите характеристики и параметри на отделните елементи и строителни материали включени в изпълнението й .</w:t>
      </w:r>
    </w:p>
    <w:p w14:paraId="25426933" w14:textId="1E2D8A6B"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Проектно-сметната документация следва да бъде изработена, подписана и съгласувана от проектантите от екипа, с правоспособност да изработват съответните части, съгласно Законите за камарата на архитектите и инженерите в инвестиционното проектиране, като същото се доказва със заверени копия от валидни удостоверения за правоспособност.</w:t>
      </w:r>
    </w:p>
    <w:p w14:paraId="7FCA7EDF" w14:textId="46B27E61"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Всички проектни части се подписват от Възложителя и представител на СС, а частите по чл. 142, ал. 10 от ЗУТ - и от лицето, упражняващо технически контрол в проектирането. Изпълнителят е длъжен да извърши необходимите корекции и преработки, ако такива се налагат, за своя сметка в срок до 10 дни след писмено уведомление от Възложителя.</w:t>
      </w:r>
    </w:p>
    <w:p w14:paraId="16723DCE" w14:textId="311E9F93"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Изпълнителят, чрез своите експерти, е длъжен да бъде на разположение на  Възложителя през цялото времетраене на обновителните и ремонтни дейности.</w:t>
      </w:r>
    </w:p>
    <w:p w14:paraId="37B9C700" w14:textId="2EBE3892" w:rsidR="00573B4F" w:rsidRPr="00573B4F" w:rsidRDefault="00573B4F" w:rsidP="00680B81">
      <w:pPr>
        <w:numPr>
          <w:ilvl w:val="2"/>
          <w:numId w:val="92"/>
        </w:numPr>
        <w:spacing w:before="120" w:after="120" w:line="0" w:lineRule="atLeast"/>
        <w:jc w:val="both"/>
        <w:rPr>
          <w:sz w:val="22"/>
          <w:szCs w:val="22"/>
          <w:lang w:val="bg-BG"/>
        </w:rPr>
      </w:pPr>
      <w:r w:rsidRPr="00573B4F">
        <w:rPr>
          <w:sz w:val="22"/>
          <w:szCs w:val="22"/>
          <w:lang w:val="bg-BG"/>
        </w:rPr>
        <w:t>Изпълнителят се задължава да упражнява авторски надзор в следните случаи:</w:t>
      </w:r>
    </w:p>
    <w:p w14:paraId="6D14298F" w14:textId="20E84DFA" w:rsidR="00573B4F" w:rsidRPr="00573B4F" w:rsidRDefault="00573B4F" w:rsidP="00680B81">
      <w:pPr>
        <w:numPr>
          <w:ilvl w:val="3"/>
          <w:numId w:val="92"/>
        </w:numPr>
        <w:spacing w:before="120" w:after="120" w:line="0" w:lineRule="atLeast"/>
        <w:jc w:val="both"/>
        <w:rPr>
          <w:sz w:val="22"/>
          <w:szCs w:val="22"/>
          <w:lang w:val="bg-BG"/>
        </w:rPr>
      </w:pPr>
      <w:r w:rsidRPr="00573B4F">
        <w:rPr>
          <w:sz w:val="22"/>
          <w:szCs w:val="22"/>
          <w:lang w:val="bg-BG"/>
        </w:rPr>
        <w:t>Във всички случаи, когато присъствието на проектант на обекта е наложително, след получаване на писмена покана от Възложителя.</w:t>
      </w:r>
    </w:p>
    <w:p w14:paraId="398B35A1" w14:textId="7274BA85" w:rsidR="00573B4F" w:rsidRDefault="00573B4F" w:rsidP="00680B81">
      <w:pPr>
        <w:numPr>
          <w:ilvl w:val="3"/>
          <w:numId w:val="92"/>
        </w:numPr>
        <w:spacing w:before="120" w:after="120" w:line="0" w:lineRule="atLeast"/>
        <w:jc w:val="both"/>
        <w:rPr>
          <w:sz w:val="22"/>
          <w:szCs w:val="22"/>
          <w:lang w:val="bg-BG"/>
        </w:rPr>
      </w:pPr>
      <w:r w:rsidRPr="00573B4F">
        <w:rPr>
          <w:sz w:val="22"/>
          <w:szCs w:val="22"/>
          <w:lang w:val="bg-BG"/>
        </w:rPr>
        <w:t xml:space="preserve">За участие в приемателна комисия на извършените строително - монтажни работи. При необходимост от авторски надзор на обекта, ВЪЗЛОЖИТЕЛЯТ отправя писмена покана изпратена чрез куриер, по факс или по електронна поща до ИЗПЪЛНИТЕЛЯ в срок не по-малък от 24 часа преди датата и часа на посещението за извършването на всеки авторски надзор. Ако авторският надзор се отнася за неработен ден е необходимо уведомяване 48 часа преди започване на почивните дни. При невъзможност на ИЗПЪЛНИТЕЛЯ да осигури на обекта на посочената в поканата дата проектанта изработил частта от проекта, за която е необходим авторски надзор, ИЗПЪЛНИТЕЛЯТ </w:t>
      </w:r>
      <w:r w:rsidRPr="00573B4F">
        <w:rPr>
          <w:sz w:val="22"/>
          <w:szCs w:val="22"/>
          <w:lang w:val="bg-BG"/>
        </w:rPr>
        <w:lastRenderedPageBreak/>
        <w:t>се задължава да оторизира и осигури друг свой специалист, който да се яви на строителната площадка и извърши необходимия авторския надзор.Изпълнителят, чрез своите експерти, е длъжен да упражнява авторския надзор своевременно и ефективно, като се отзовава на повикванията на Възложителя.</w:t>
      </w:r>
    </w:p>
    <w:p w14:paraId="032461F4" w14:textId="25CE74D4" w:rsidR="00680B81" w:rsidRPr="00573B4F" w:rsidRDefault="00680B81" w:rsidP="00680B81">
      <w:pPr>
        <w:numPr>
          <w:ilvl w:val="2"/>
          <w:numId w:val="92"/>
        </w:numPr>
        <w:spacing w:before="120" w:after="120" w:line="0" w:lineRule="atLeast"/>
        <w:jc w:val="both"/>
        <w:rPr>
          <w:sz w:val="22"/>
          <w:szCs w:val="22"/>
          <w:lang w:val="bg-BG"/>
        </w:rPr>
      </w:pPr>
      <w:r w:rsidRPr="00680B81">
        <w:rPr>
          <w:sz w:val="22"/>
          <w:szCs w:val="22"/>
          <w:lang w:val="bg-BG"/>
        </w:rPr>
        <w:t xml:space="preserve">Всички предписани от Изпълнителя в работния проект дейности следва да са допустими за финансиране по по процедура за предоставяне на безвъзмездна финансова помощ </w:t>
      </w:r>
      <w:r w:rsidRPr="00680B81">
        <w:rPr>
          <w:b/>
          <w:bCs/>
          <w:sz w:val="22"/>
          <w:szCs w:val="22"/>
          <w:lang w:val="bg-BG"/>
        </w:rPr>
        <w:t>BG16RFOP001-2.001 „Енергийна ефективност в периферните райони“</w:t>
      </w:r>
      <w:r w:rsidRPr="00680B81">
        <w:rPr>
          <w:bCs/>
          <w:sz w:val="22"/>
          <w:szCs w:val="22"/>
          <w:lang w:val="bg-BG"/>
        </w:rPr>
        <w:t xml:space="preserve"> по Оперативна Програма „</w:t>
      </w:r>
      <w:r w:rsidRPr="00680B81">
        <w:rPr>
          <w:b/>
          <w:bCs/>
          <w:sz w:val="22"/>
          <w:szCs w:val="22"/>
          <w:lang w:val="bg-BG"/>
        </w:rPr>
        <w:t>Региони в Растеж</w:t>
      </w:r>
      <w:r w:rsidRPr="00680B81">
        <w:rPr>
          <w:bCs/>
          <w:sz w:val="22"/>
          <w:szCs w:val="22"/>
          <w:lang w:val="bg-BG"/>
        </w:rPr>
        <w:t xml:space="preserve">“ </w:t>
      </w:r>
      <w:bookmarkStart w:id="9" w:name="_GoBack"/>
      <w:bookmarkEnd w:id="9"/>
      <w:r w:rsidRPr="00680B81">
        <w:rPr>
          <w:bCs/>
          <w:sz w:val="22"/>
          <w:szCs w:val="22"/>
          <w:lang w:val="bg-BG"/>
        </w:rPr>
        <w:t xml:space="preserve">- </w:t>
      </w:r>
      <w:r w:rsidRPr="00680B81">
        <w:rPr>
          <w:b/>
          <w:bCs/>
          <w:sz w:val="22"/>
          <w:szCs w:val="22"/>
          <w:lang w:val="bg-BG"/>
        </w:rPr>
        <w:t>ОПРР</w:t>
      </w:r>
    </w:p>
    <w:sectPr w:rsidR="00680B81" w:rsidRPr="00573B4F"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CC4A" w14:textId="77777777" w:rsidR="007D43C9" w:rsidRDefault="007D43C9">
      <w:r>
        <w:separator/>
      </w:r>
    </w:p>
  </w:endnote>
  <w:endnote w:type="continuationSeparator" w:id="0">
    <w:p w14:paraId="48DFCD38" w14:textId="77777777" w:rsidR="007D43C9" w:rsidRDefault="007D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9E91F" w14:textId="77777777" w:rsidR="007D43C9" w:rsidRDefault="007D43C9">
      <w:r>
        <w:separator/>
      </w:r>
    </w:p>
  </w:footnote>
  <w:footnote w:type="continuationSeparator" w:id="0">
    <w:p w14:paraId="4D225924" w14:textId="77777777" w:rsidR="007D43C9" w:rsidRDefault="007D4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1"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0"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3"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4"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BD50FC6"/>
    <w:multiLevelType w:val="multilevel"/>
    <w:tmpl w:val="E98C2FBE"/>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mc:AlternateContent>
        <mc:Choice Requires="w14">
          <w:numFmt w:val="custom" w:format="а, й, к, ..."/>
        </mc:Choice>
        <mc:Fallback>
          <w:numFmt w:val="decimal"/>
        </mc:Fallback>
      </mc:AlternateContent>
      <w:lvlText w:val="%5)"/>
      <w:lvlJc w:val="left"/>
      <w:pPr>
        <w:tabs>
          <w:tab w:val="num" w:pos="2268"/>
        </w:tabs>
        <w:ind w:left="2268" w:hanging="283"/>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lowerRoman"/>
      <w:lvlText w:val="(%7)"/>
      <w:lvlJc w:val="left"/>
      <w:pPr>
        <w:tabs>
          <w:tab w:val="num" w:pos="3119"/>
        </w:tabs>
        <w:ind w:left="3119"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7.%8)"/>
      <w:lvlJc w:val="left"/>
      <w:pPr>
        <w:tabs>
          <w:tab w:val="num" w:pos="3686"/>
        </w:tabs>
        <w:ind w:left="3686"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8">
      <w:start w:val="1"/>
      <w:numFmt w:val="bullet"/>
      <w:lvlText w:val=""/>
      <w:lvlJc w:val="left"/>
      <w:pPr>
        <w:tabs>
          <w:tab w:val="num" w:pos="3969"/>
        </w:tabs>
        <w:ind w:left="3969" w:hanging="283"/>
      </w:pPr>
      <w:rPr>
        <w:rFonts w:ascii="Symbol" w:hAnsi="Symbol" w:hint="default"/>
        <w:b/>
        <w:bCs/>
        <w:i w:val="0"/>
        <w:iCs w:val="0"/>
        <w:caps w:val="0"/>
        <w:strike w:val="0"/>
        <w:dstrike w:val="0"/>
        <w:vanish w:val="0"/>
        <w:color w:val="auto"/>
        <w:spacing w:val="0"/>
        <w:w w:val="100"/>
        <w:position w:val="0"/>
        <w:sz w:val="22"/>
        <w:szCs w:val="22"/>
        <w:vertAlign w:val="baseline"/>
      </w:rPr>
    </w:lvl>
  </w:abstractNum>
  <w:abstractNum w:abstractNumId="78"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1"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2"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3"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6"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7"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8"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1"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4"/>
  </w:num>
  <w:num w:numId="4">
    <w:abstractNumId w:val="83"/>
  </w:num>
  <w:num w:numId="5">
    <w:abstractNumId w:val="68"/>
  </w:num>
  <w:num w:numId="6">
    <w:abstractNumId w:val="84"/>
  </w:num>
  <w:num w:numId="7">
    <w:abstractNumId w:val="86"/>
  </w:num>
  <w:num w:numId="8">
    <w:abstractNumId w:val="85"/>
  </w:num>
  <w:num w:numId="9">
    <w:abstractNumId w:val="69"/>
  </w:num>
  <w:num w:numId="10">
    <w:abstractNumId w:val="13"/>
  </w:num>
  <w:num w:numId="11">
    <w:abstractNumId w:val="7"/>
  </w:num>
  <w:num w:numId="12">
    <w:abstractNumId w:val="94"/>
  </w:num>
  <w:num w:numId="13">
    <w:abstractNumId w:val="17"/>
  </w:num>
  <w:num w:numId="14">
    <w:abstractNumId w:val="20"/>
  </w:num>
  <w:num w:numId="15">
    <w:abstractNumId w:val="76"/>
  </w:num>
  <w:num w:numId="16">
    <w:abstractNumId w:val="89"/>
  </w:num>
  <w:num w:numId="17">
    <w:abstractNumId w:val="28"/>
  </w:num>
  <w:num w:numId="18">
    <w:abstractNumId w:val="57"/>
  </w:num>
  <w:num w:numId="19">
    <w:abstractNumId w:val="24"/>
  </w:num>
  <w:num w:numId="20">
    <w:abstractNumId w:val="91"/>
  </w:num>
  <w:num w:numId="21">
    <w:abstractNumId w:val="30"/>
  </w:num>
  <w:num w:numId="22">
    <w:abstractNumId w:val="88"/>
  </w:num>
  <w:num w:numId="23">
    <w:abstractNumId w:val="6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41"/>
  </w:num>
  <w:num w:numId="32">
    <w:abstractNumId w:val="3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6"/>
  </w:num>
  <w:num w:numId="36">
    <w:abstractNumId w:val="39"/>
  </w:num>
  <w:num w:numId="37">
    <w:abstractNumId w:val="48"/>
  </w:num>
  <w:num w:numId="38">
    <w:abstractNumId w:val="66"/>
  </w:num>
  <w:num w:numId="39">
    <w:abstractNumId w:val="15"/>
  </w:num>
  <w:num w:numId="40">
    <w:abstractNumId w:val="21"/>
  </w:num>
  <w:num w:numId="41">
    <w:abstractNumId w:val="75"/>
  </w:num>
  <w:num w:numId="42">
    <w:abstractNumId w:val="18"/>
  </w:num>
  <w:num w:numId="43">
    <w:abstractNumId w:val="38"/>
  </w:num>
  <w:num w:numId="44">
    <w:abstractNumId w:val="60"/>
  </w:num>
  <w:num w:numId="45">
    <w:abstractNumId w:val="80"/>
  </w:num>
  <w:num w:numId="46">
    <w:abstractNumId w:val="6"/>
  </w:num>
  <w:num w:numId="47">
    <w:abstractNumId w:val="49"/>
  </w:num>
  <w:num w:numId="48">
    <w:abstractNumId w:val="36"/>
  </w:num>
  <w:num w:numId="49">
    <w:abstractNumId w:val="61"/>
  </w:num>
  <w:num w:numId="50">
    <w:abstractNumId w:val="51"/>
  </w:num>
  <w:num w:numId="51">
    <w:abstractNumId w:val="63"/>
  </w:num>
  <w:num w:numId="52">
    <w:abstractNumId w:val="5"/>
  </w:num>
  <w:num w:numId="53">
    <w:abstractNumId w:val="32"/>
  </w:num>
  <w:num w:numId="54">
    <w:abstractNumId w:val="53"/>
  </w:num>
  <w:num w:numId="55">
    <w:abstractNumId w:val="33"/>
  </w:num>
  <w:num w:numId="56">
    <w:abstractNumId w:val="12"/>
  </w:num>
  <w:num w:numId="57">
    <w:abstractNumId w:val="34"/>
  </w:num>
  <w:num w:numId="58">
    <w:abstractNumId w:val="10"/>
  </w:num>
  <w:num w:numId="59">
    <w:abstractNumId w:val="46"/>
  </w:num>
  <w:num w:numId="60">
    <w:abstractNumId w:val="87"/>
  </w:num>
  <w:num w:numId="61">
    <w:abstractNumId w:val="71"/>
  </w:num>
  <w:num w:numId="62">
    <w:abstractNumId w:val="92"/>
  </w:num>
  <w:num w:numId="63">
    <w:abstractNumId w:val="4"/>
  </w:num>
  <w:num w:numId="64">
    <w:abstractNumId w:val="45"/>
  </w:num>
  <w:num w:numId="65">
    <w:abstractNumId w:val="29"/>
  </w:num>
  <w:num w:numId="66">
    <w:abstractNumId w:val="78"/>
  </w:num>
  <w:num w:numId="67">
    <w:abstractNumId w:val="31"/>
  </w:num>
  <w:num w:numId="68">
    <w:abstractNumId w:val="82"/>
  </w:num>
  <w:num w:numId="69">
    <w:abstractNumId w:val="70"/>
  </w:num>
  <w:num w:numId="70">
    <w:abstractNumId w:val="74"/>
  </w:num>
  <w:num w:numId="71">
    <w:abstractNumId w:val="11"/>
  </w:num>
  <w:num w:numId="72">
    <w:abstractNumId w:val="65"/>
  </w:num>
  <w:num w:numId="73">
    <w:abstractNumId w:val="59"/>
  </w:num>
  <w:num w:numId="74">
    <w:abstractNumId w:val="64"/>
  </w:num>
  <w:num w:numId="75">
    <w:abstractNumId w:val="90"/>
  </w:num>
  <w:num w:numId="76">
    <w:abstractNumId w:val="42"/>
  </w:num>
  <w:num w:numId="77">
    <w:abstractNumId w:val="9"/>
  </w:num>
  <w:num w:numId="78">
    <w:abstractNumId w:val="22"/>
  </w:num>
  <w:num w:numId="79">
    <w:abstractNumId w:val="55"/>
  </w:num>
  <w:num w:numId="80">
    <w:abstractNumId w:val="58"/>
  </w:num>
  <w:num w:numId="81">
    <w:abstractNumId w:val="47"/>
  </w:num>
  <w:num w:numId="82">
    <w:abstractNumId w:val="16"/>
  </w:num>
  <w:num w:numId="83">
    <w:abstractNumId w:val="37"/>
  </w:num>
  <w:num w:numId="84">
    <w:abstractNumId w:val="67"/>
  </w:num>
  <w:num w:numId="85">
    <w:abstractNumId w:val="27"/>
  </w:num>
  <w:num w:numId="86">
    <w:abstractNumId w:val="73"/>
  </w:num>
  <w:num w:numId="87">
    <w:abstractNumId w:val="79"/>
  </w:num>
  <w:num w:numId="88">
    <w:abstractNumId w:val="93"/>
  </w:num>
  <w:num w:numId="89">
    <w:abstractNumId w:val="50"/>
  </w:num>
  <w:num w:numId="90">
    <w:abstractNumId w:val="44"/>
  </w:num>
  <w:num w:numId="91">
    <w:abstractNumId w:val="40"/>
  </w:num>
  <w:num w:numId="92">
    <w:abstractNumId w:val="77"/>
  </w:num>
  <w:num w:numId="93">
    <w:abstractNumId w:val="77"/>
  </w:num>
  <w:num w:numId="94">
    <w:abstractNumId w:val="77"/>
  </w:num>
  <w:num w:numId="95">
    <w:abstractNumId w:val="77"/>
  </w:num>
  <w:num w:numId="96">
    <w:abstractNumId w:val="77"/>
  </w:num>
  <w:num w:numId="97">
    <w:abstractNumId w:val="77"/>
  </w:num>
  <w:num w:numId="98">
    <w:abstractNumId w:val="7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61C"/>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22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C3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4E"/>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B27"/>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4EA"/>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B4F"/>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338"/>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B81"/>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926"/>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296"/>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53"/>
    <w:rsid w:val="00942E6A"/>
    <w:rsid w:val="00943403"/>
    <w:rsid w:val="009435F6"/>
    <w:rsid w:val="009439C0"/>
    <w:rsid w:val="009444C5"/>
    <w:rsid w:val="00944B21"/>
    <w:rsid w:val="00945B7F"/>
    <w:rsid w:val="00945DBC"/>
    <w:rsid w:val="0094656B"/>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4BE"/>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01B"/>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2AB"/>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D9B"/>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2E0B"/>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178"/>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1EB"/>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247"/>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BC9"/>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77DF6"/>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9614BE"/>
    <w:pPr>
      <w:numPr>
        <w:numId w:val="92"/>
      </w:numPr>
      <w:pBdr>
        <w:top w:val="single" w:sz="4" w:space="1" w:color="auto"/>
        <w:bottom w:val="single" w:sz="4" w:space="1" w:color="auto"/>
      </w:pBdr>
      <w:shd w:val="clear" w:color="auto" w:fill="92D050"/>
      <w:spacing w:before="120" w:after="120" w:line="240" w:lineRule="atLeast"/>
      <w:jc w:val="both"/>
      <w:outlineLvl w:val="0"/>
    </w:pPr>
    <w:rPr>
      <w:rFonts w:cs="Times New Roman Bold"/>
      <w:b/>
      <w:bCs/>
      <w:sz w:val="22"/>
      <w:szCs w:val="22"/>
      <w:lang w:val="bg-BG" w:eastAsia="en-US"/>
    </w:rPr>
  </w:style>
  <w:style w:type="paragraph" w:styleId="20">
    <w:name w:val="heading 2"/>
    <w:basedOn w:val="a3"/>
    <w:next w:val="a3"/>
    <w:link w:val="21"/>
    <w:qFormat/>
    <w:rsid w:val="0098401B"/>
    <w:pPr>
      <w:pageBreakBefore/>
      <w:tabs>
        <w:tab w:val="left" w:pos="709"/>
      </w:tabs>
      <w:spacing w:before="120" w:after="120" w:line="240" w:lineRule="atLeast"/>
      <w:jc w:val="both"/>
      <w:outlineLvl w:val="1"/>
    </w:pPr>
    <w:rPr>
      <w:rFonts w:cs="Times New Roman Bold"/>
      <w:b/>
      <w:bCs/>
      <w:sz w:val="22"/>
      <w:szCs w:val="56"/>
      <w:u w:val="single"/>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9614BE"/>
    <w:rPr>
      <w:rFonts w:cs="Times New Roman Bold"/>
      <w:b/>
      <w:bCs/>
      <w:sz w:val="22"/>
      <w:szCs w:val="22"/>
      <w:shd w:val="clear" w:color="auto" w:fill="92D050"/>
      <w:lang w:eastAsia="en-US"/>
    </w:rPr>
  </w:style>
  <w:style w:type="character" w:customStyle="1" w:styleId="21">
    <w:name w:val="Заглавие 2 Знак"/>
    <w:link w:val="20"/>
    <w:locked/>
    <w:rsid w:val="0098401B"/>
    <w:rPr>
      <w:rFonts w:cs="Times New Roman Bold"/>
      <w:b/>
      <w:bCs/>
      <w:sz w:val="22"/>
      <w:szCs w:val="56"/>
      <w:u w:val="single"/>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tabs>
        <w:tab w:val="left" w:pos="680"/>
      </w:tabs>
      <w:spacing w:before="240" w:after="60" w:line="240" w:lineRule="auto"/>
      <w:jc w:val="left"/>
    </w:pPr>
    <w:rPr>
      <w:rFonts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7771-B45A-45D9-B3F0-D6191DA8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2370</Words>
  <Characters>13574</Characters>
  <Application>Microsoft Office Word</Application>
  <DocSecurity>0</DocSecurity>
  <Lines>113</Lines>
  <Paragraphs>31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15913</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22</cp:revision>
  <cp:lastPrinted>2016-04-13T19:48:00Z</cp:lastPrinted>
  <dcterms:created xsi:type="dcterms:W3CDTF">2016-08-22T12:54:00Z</dcterms:created>
  <dcterms:modified xsi:type="dcterms:W3CDTF">2016-08-23T13:20:00Z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